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4AF7815" w:rsidR="00E978D0" w:rsidRPr="00B57B36" w:rsidRDefault="00753E8F" w:rsidP="000308C1">
      <w:pPr>
        <w:pStyle w:val="CETTitle"/>
      </w:pPr>
      <w:r>
        <w:t>Techn</w:t>
      </w:r>
      <w:r w:rsidR="00E063AC">
        <w:t>o-</w:t>
      </w:r>
      <w:r>
        <w:t>e</w:t>
      </w:r>
      <w:r w:rsidR="000308C1">
        <w:t xml:space="preserve">conomic evaluation </w:t>
      </w:r>
      <w:r w:rsidR="00E063AC">
        <w:t xml:space="preserve">of creole avocado biomass </w:t>
      </w:r>
      <w:proofErr w:type="spellStart"/>
      <w:r w:rsidR="00E063AC">
        <w:t>valorization</w:t>
      </w:r>
      <w:proofErr w:type="spellEnd"/>
      <w:r w:rsidR="00E063AC">
        <w:t xml:space="preserve"> via</w:t>
      </w:r>
      <w:r w:rsidR="000308C1">
        <w:t xml:space="preserve"> oil production in Nort</w:t>
      </w:r>
      <w:r w:rsidR="00E063AC">
        <w:t>h</w:t>
      </w:r>
      <w:r w:rsidR="000308C1">
        <w:t>-Colombia</w:t>
      </w:r>
    </w:p>
    <w:p w14:paraId="4C876884" w14:textId="77777777" w:rsidR="006667D7" w:rsidRPr="00B753CC" w:rsidRDefault="006667D7" w:rsidP="006667D7">
      <w:pPr>
        <w:pStyle w:val="CETAuthors"/>
        <w:rPr>
          <w:lang w:val="es-CO"/>
        </w:rPr>
      </w:pPr>
      <w:r w:rsidRPr="00B753CC">
        <w:rPr>
          <w:lang w:val="es-CO"/>
        </w:rPr>
        <w:t>Tamy Herrera, Vianny Parejo, Ángel González-Delgado*</w:t>
      </w:r>
    </w:p>
    <w:p w14:paraId="01C16A52" w14:textId="77777777" w:rsidR="006667D7" w:rsidRPr="00B57B36" w:rsidRDefault="006667D7" w:rsidP="006667D7">
      <w:pPr>
        <w:pStyle w:val="CETAddress"/>
      </w:pPr>
      <w:r>
        <w:t>Nanomaterials and Computer-Aided Process Engineering Research Group (NIPAC), Chemical Engineering Department, Faculty of Engineering, University of Cartagena, Cartagena 130015, Colombia</w:t>
      </w:r>
      <w:r w:rsidRPr="00B57B36">
        <w:t xml:space="preserve"> </w:t>
      </w:r>
    </w:p>
    <w:p w14:paraId="74188183" w14:textId="77777777" w:rsidR="006667D7" w:rsidRDefault="006667D7" w:rsidP="006667D7">
      <w:pPr>
        <w:pStyle w:val="CETemail"/>
      </w:pPr>
      <w:r w:rsidRPr="00C64D3E">
        <w:t>agonzalezd1@unicartagena.edu.co</w:t>
      </w:r>
      <w:r w:rsidRPr="00B57B36">
        <w:t xml:space="preserve"> </w:t>
      </w:r>
      <w:r>
        <w:t xml:space="preserve"> </w:t>
      </w:r>
    </w:p>
    <w:p w14:paraId="691C6F02" w14:textId="65D82909" w:rsidR="000632E5" w:rsidRPr="00655EDE" w:rsidRDefault="000E5004" w:rsidP="00C95E32">
      <w:pPr>
        <w:pStyle w:val="CETBodytext"/>
      </w:pPr>
      <w:r w:rsidRPr="000E5004">
        <w:t xml:space="preserve">Oil content </w:t>
      </w:r>
      <w:r w:rsidRPr="00655EDE">
        <w:t xml:space="preserve">in avocado has motivated the search for waste recovery alternatives that can improve the sustainability of the processing chain. </w:t>
      </w:r>
      <w:proofErr w:type="gramStart"/>
      <w:r w:rsidRPr="00655EDE">
        <w:t>As a way to</w:t>
      </w:r>
      <w:proofErr w:type="gramEnd"/>
      <w:r w:rsidRPr="00655EDE">
        <w:t xml:space="preserve"> take advantage of it, this avocado can be used f</w:t>
      </w:r>
      <w:r w:rsidR="00CA2E38" w:rsidRPr="00655EDE">
        <w:t>or the production of</w:t>
      </w:r>
      <w:r w:rsidRPr="00655EDE">
        <w:t xml:space="preserve"> value-added products. </w:t>
      </w:r>
      <w:r w:rsidR="00AE2078" w:rsidRPr="00655EDE">
        <w:t xml:space="preserve">Therefore, it is necessary to evaluate the viability under sustainability criteria for large-scale avocado oil production in the north Colombia region, the main pantry of the Criollo-Antillean variety (Laurus </w:t>
      </w:r>
      <w:proofErr w:type="spellStart"/>
      <w:r w:rsidR="00AE2078" w:rsidRPr="00655EDE">
        <w:t>Persea</w:t>
      </w:r>
      <w:proofErr w:type="spellEnd"/>
      <w:r w:rsidR="00AE2078" w:rsidRPr="00655EDE">
        <w:t xml:space="preserve"> L) in the country.</w:t>
      </w:r>
      <w:r w:rsidRPr="00655EDE">
        <w:t xml:space="preserve"> </w:t>
      </w:r>
      <w:r w:rsidR="00726D96" w:rsidRPr="00655EDE">
        <w:t>This work aims to evaluate the economic viability of the valorization of the ripe Antillean Creole avocado</w:t>
      </w:r>
      <w:r w:rsidR="0008241E" w:rsidRPr="00655EDE">
        <w:t xml:space="preserve"> for oil extraction under North-</w:t>
      </w:r>
      <w:r w:rsidR="00726D96" w:rsidRPr="00655EDE">
        <w:t xml:space="preserve">Colombia conditions. </w:t>
      </w:r>
      <w:r w:rsidR="00655671" w:rsidRPr="00655EDE">
        <w:t xml:space="preserve">The economic evaluation was carried out for a plant production capacity of 10,605 t/y mature avocado and 1,000.67 t/y of avocado oil remove. </w:t>
      </w:r>
      <w:r w:rsidR="00C86B7A" w:rsidRPr="00655EDE">
        <w:t xml:space="preserve">The raw material used to supply the plant is ripe avocado rejected for human consumption, which lowers the feedstock price. </w:t>
      </w:r>
      <w:r w:rsidRPr="00655EDE">
        <w:t>The economic analysis suggests a total capital investment (TCI) of $ 6,433,363 approximately and</w:t>
      </w:r>
      <w:r w:rsidR="000632E5" w:rsidRPr="00655EDE">
        <w:t xml:space="preserve"> a net present value of $74.00 </w:t>
      </w:r>
      <w:r w:rsidRPr="00655EDE">
        <w:t xml:space="preserve">with a recovery of the investment after the seventh </w:t>
      </w:r>
      <w:r w:rsidR="00AE2078" w:rsidRPr="00655EDE">
        <w:t>year</w:t>
      </w:r>
      <w:r w:rsidRPr="00655EDE">
        <w:t xml:space="preserve"> since the project started. </w:t>
      </w:r>
      <w:r w:rsidR="000632E5" w:rsidRPr="00655EDE">
        <w:t>Besides, profits are greater than expenses since the cost-benefit ratio calculated was considerable larger than one.  Results obtained show that equipment cost is critical in total capital investment calculations.</w:t>
      </w:r>
    </w:p>
    <w:p w14:paraId="476B2F2E" w14:textId="77777777" w:rsidR="00600535" w:rsidRPr="00655EDE" w:rsidRDefault="00600535" w:rsidP="00600535">
      <w:pPr>
        <w:pStyle w:val="CETHeading1"/>
        <w:rPr>
          <w:lang w:val="en-GB"/>
        </w:rPr>
      </w:pPr>
      <w:r w:rsidRPr="00655EDE">
        <w:rPr>
          <w:lang w:val="en-GB"/>
        </w:rPr>
        <w:t>Introduction</w:t>
      </w:r>
    </w:p>
    <w:p w14:paraId="0AEBEB12" w14:textId="2E820CD0" w:rsidR="006F7BDE" w:rsidRPr="00EC1757" w:rsidRDefault="006F7BDE" w:rsidP="006F7BDE">
      <w:pPr>
        <w:pStyle w:val="CETBodytext"/>
        <w:rPr>
          <w:lang w:val="en-GB"/>
        </w:rPr>
      </w:pPr>
      <w:r w:rsidRPr="00655EDE">
        <w:rPr>
          <w:lang w:val="en-GB"/>
        </w:rPr>
        <w:t xml:space="preserve">In Colombia, the avocado harvest and production became larger latest years due to rising demand in international markets and dissatisfied intern requirements. Regardless of expansion in cultivated areas, the production method is bounded by suitable technological assistance and farming proper </w:t>
      </w:r>
      <w:r w:rsidR="004B4C93" w:rsidRPr="00655EDE">
        <w:rPr>
          <w:lang w:val="en-GB"/>
        </w:rPr>
        <w:t>fields</w:t>
      </w:r>
      <w:r w:rsidRPr="00655EDE">
        <w:rPr>
          <w:lang w:val="en-GB"/>
        </w:rPr>
        <w:t xml:space="preserve"> for each avocado class (Ramíre</w:t>
      </w:r>
      <w:r w:rsidR="00EC1757" w:rsidRPr="00655EDE">
        <w:rPr>
          <w:lang w:val="en-GB"/>
        </w:rPr>
        <w:t>z</w:t>
      </w:r>
      <w:r w:rsidRPr="00655EDE">
        <w:rPr>
          <w:lang w:val="en-GB"/>
        </w:rPr>
        <w:t xml:space="preserve"> et al., 2018); however, Montes de Maria municipality is appreciated as a major land for sowing which stands out for avocado prod</w:t>
      </w:r>
      <w:r w:rsidR="00A934D8" w:rsidRPr="00655EDE">
        <w:rPr>
          <w:lang w:val="en-GB"/>
        </w:rPr>
        <w:t>uction (</w:t>
      </w:r>
      <w:proofErr w:type="spellStart"/>
      <w:r w:rsidR="00A934D8" w:rsidRPr="00655EDE">
        <w:rPr>
          <w:lang w:val="en-GB"/>
        </w:rPr>
        <w:t>Marsiglia</w:t>
      </w:r>
      <w:proofErr w:type="spellEnd"/>
      <w:r w:rsidR="00A934D8" w:rsidRPr="00655EDE">
        <w:rPr>
          <w:lang w:val="en-GB"/>
        </w:rPr>
        <w:t xml:space="preserve"> et al., 2018); however, due to the lack of adequate crop collection and distribution techniques, part of the harvest is </w:t>
      </w:r>
      <w:proofErr w:type="spellStart"/>
      <w:r w:rsidR="00A934D8" w:rsidRPr="00655EDE">
        <w:rPr>
          <w:lang w:val="en-GB"/>
        </w:rPr>
        <w:t>riped</w:t>
      </w:r>
      <w:proofErr w:type="spellEnd"/>
      <w:r w:rsidR="00A934D8" w:rsidRPr="00655EDE">
        <w:rPr>
          <w:lang w:val="en-GB"/>
        </w:rPr>
        <w:t xml:space="preserve"> and depleted without being used for the industry. (Prada, 2016). </w:t>
      </w:r>
      <w:r w:rsidRPr="00655EDE">
        <w:rPr>
          <w:lang w:val="en-GB"/>
        </w:rPr>
        <w:t>Avocado fruit is composed of a single seed, skin, and pulp; moisture and fatty acid content di</w:t>
      </w:r>
      <w:r w:rsidR="004B4C93" w:rsidRPr="00655EDE">
        <w:rPr>
          <w:lang w:val="en-GB"/>
        </w:rPr>
        <w:t xml:space="preserve">ffer from 5 to </w:t>
      </w:r>
      <w:r w:rsidRPr="00655EDE">
        <w:rPr>
          <w:lang w:val="en-GB"/>
        </w:rPr>
        <w:t xml:space="preserve">30 % (Yahia, 2012). This fruit is abundant in nutrients and owns elevated lipids content in the flesh that is an adequate raw material for oil extraction (Tan et al., 2018), is mostly constituted of monounsaturated and polyunsaturated fatty acids including oleic acid, palmitic </w:t>
      </w:r>
      <w:r w:rsidRPr="00EC1757">
        <w:rPr>
          <w:lang w:val="en-GB"/>
        </w:rPr>
        <w:t xml:space="preserve">acid, and linoleic acid. The above, grant properties to avocado oil to be effectively absorbed by the human body, because of </w:t>
      </w:r>
      <w:r w:rsidR="004B4C93">
        <w:rPr>
          <w:lang w:val="en-GB"/>
        </w:rPr>
        <w:t xml:space="preserve">its </w:t>
      </w:r>
      <w:r w:rsidRPr="00EC1757">
        <w:rPr>
          <w:lang w:val="en-GB"/>
        </w:rPr>
        <w:t xml:space="preserve">medicinal attributes (Liu et al., 2021). </w:t>
      </w:r>
    </w:p>
    <w:p w14:paraId="23F86FEF" w14:textId="0A7A8881" w:rsidR="00600535" w:rsidRPr="007E3F46" w:rsidRDefault="006F7BDE" w:rsidP="00600535">
      <w:pPr>
        <w:pStyle w:val="CETBodytext"/>
        <w:rPr>
          <w:lang w:val="en-GB"/>
        </w:rPr>
      </w:pPr>
      <w:r w:rsidRPr="00EC1757">
        <w:rPr>
          <w:lang w:val="en-GB"/>
        </w:rPr>
        <w:t>Avocado oil could be obtained using physical, biological, and chemical techniques such as solvent extraction, cold pressing, critical fluid extraction, biological method-enzyme assisted, among others (Lopez et al., 2021). Moreover, organic solvents for oil extraction demand a refining stage that predominantly aims for cosmetic application (</w:t>
      </w:r>
      <w:r w:rsidRPr="007E3F46">
        <w:rPr>
          <w:lang w:val="en-GB"/>
        </w:rPr>
        <w:t xml:space="preserve">Pérez et al., 2021); for this reason, it is important to generate </w:t>
      </w:r>
      <w:proofErr w:type="spellStart"/>
      <w:r w:rsidRPr="007E3F46">
        <w:rPr>
          <w:lang w:val="en-GB"/>
        </w:rPr>
        <w:t>valorization</w:t>
      </w:r>
      <w:proofErr w:type="spellEnd"/>
      <w:r w:rsidRPr="007E3F46">
        <w:rPr>
          <w:lang w:val="en-GB"/>
        </w:rPr>
        <w:t xml:space="preserve"> alternatives and evaluate its economic development. </w:t>
      </w:r>
      <w:r w:rsidR="00083E41" w:rsidRPr="007E3F46">
        <w:rPr>
          <w:lang w:val="en-GB"/>
        </w:rPr>
        <w:t xml:space="preserve">In this work, the evaluation was developed from a technical-economic perspective </w:t>
      </w:r>
      <w:proofErr w:type="gramStart"/>
      <w:r w:rsidR="00083E41" w:rsidRPr="007E3F46">
        <w:rPr>
          <w:lang w:val="en-GB"/>
        </w:rPr>
        <w:t>for the production of</w:t>
      </w:r>
      <w:proofErr w:type="gramEnd"/>
      <w:r w:rsidR="00083E41" w:rsidRPr="007E3F46">
        <w:rPr>
          <w:lang w:val="en-GB"/>
        </w:rPr>
        <w:t xml:space="preserve"> Criollo-Antillean avocado oil (</w:t>
      </w:r>
      <w:r w:rsidR="00083E41" w:rsidRPr="007E3F46">
        <w:rPr>
          <w:i/>
          <w:iCs/>
          <w:lang w:val="en-GB"/>
        </w:rPr>
        <w:t xml:space="preserve">Laurus </w:t>
      </w:r>
      <w:proofErr w:type="spellStart"/>
      <w:r w:rsidR="00083E41" w:rsidRPr="007E3F46">
        <w:rPr>
          <w:i/>
          <w:iCs/>
          <w:lang w:val="en-GB"/>
        </w:rPr>
        <w:t>Persea</w:t>
      </w:r>
      <w:proofErr w:type="spellEnd"/>
      <w:r w:rsidR="00083E41" w:rsidRPr="007E3F46">
        <w:rPr>
          <w:i/>
          <w:iCs/>
          <w:lang w:val="en-GB"/>
        </w:rPr>
        <w:t xml:space="preserve"> L</w:t>
      </w:r>
      <w:r w:rsidR="00083E41" w:rsidRPr="007E3F46">
        <w:rPr>
          <w:lang w:val="en-GB"/>
        </w:rPr>
        <w:t>) harvested in the Montes de Maria region. Economic feasibility was estimated to know the avocado oil plant width using hexane as a solvent; besides, the production capacity of annual sales, equipment expenses, type of proce</w:t>
      </w:r>
      <w:r w:rsidR="00726D96" w:rsidRPr="007E3F46">
        <w:rPr>
          <w:lang w:val="en-GB"/>
        </w:rPr>
        <w:t xml:space="preserve">ss, interest rate, raw material, </w:t>
      </w:r>
      <w:r w:rsidR="00083E41" w:rsidRPr="007E3F46">
        <w:rPr>
          <w:lang w:val="en-GB"/>
        </w:rPr>
        <w:t>among other aspects that were considered to determine Total</w:t>
      </w:r>
      <w:r w:rsidR="0008241E" w:rsidRPr="007E3F46">
        <w:rPr>
          <w:lang w:val="en-GB"/>
        </w:rPr>
        <w:t xml:space="preserve"> capital investment under north-</w:t>
      </w:r>
      <w:r w:rsidR="00083E41" w:rsidRPr="007E3F46">
        <w:rPr>
          <w:lang w:val="en-GB"/>
        </w:rPr>
        <w:t>Colombian conditions.</w:t>
      </w:r>
    </w:p>
    <w:p w14:paraId="0EA9885C" w14:textId="77777777" w:rsidR="00F771D3" w:rsidRDefault="00F771D3" w:rsidP="00F771D3">
      <w:pPr>
        <w:pStyle w:val="CETHeading1"/>
      </w:pPr>
      <w:r>
        <w:lastRenderedPageBreak/>
        <w:t xml:space="preserve">Materials and methods </w:t>
      </w:r>
    </w:p>
    <w:p w14:paraId="06BCFD1A" w14:textId="77777777" w:rsidR="00F771D3" w:rsidRDefault="00F771D3" w:rsidP="00F771D3">
      <w:pPr>
        <w:pStyle w:val="CETheadingx"/>
      </w:pPr>
      <w:r>
        <w:t xml:space="preserve">Process description </w:t>
      </w:r>
    </w:p>
    <w:p w14:paraId="78868465" w14:textId="46B4525F" w:rsidR="001813F0" w:rsidRPr="00EC1757" w:rsidRDefault="001813F0" w:rsidP="00C95E32">
      <w:pPr>
        <w:pStyle w:val="CETBodytext"/>
      </w:pPr>
      <w:r w:rsidRPr="00C95E32">
        <w:t xml:space="preserve">The process was designed considering literature information available for avocado oil extraction, processing capacity plant was established at 10,500 t/y. For this process, the solvent oil extraction method is applied using hexane. As </w:t>
      </w:r>
      <w:r w:rsidRPr="004A3435">
        <w:t xml:space="preserve">shown in figure 1, raw material is washed in a sodium hypochlorite solution to remove dirt and pathogens (Sandoval et al., 2010). Once the avocado is clean, </w:t>
      </w:r>
      <w:r w:rsidR="004B4C93">
        <w:t>proceed</w:t>
      </w:r>
      <w:r w:rsidRPr="004A3435">
        <w:t xml:space="preserve"> to pull out the peel (stream 6) and this is carried to a washing stage to recover</w:t>
      </w:r>
      <w:r w:rsidRPr="00C95E32">
        <w:t xml:space="preserve"> the peel </w:t>
      </w:r>
      <w:r w:rsidR="004B4C93">
        <w:t>remain</w:t>
      </w:r>
      <w:r w:rsidRPr="00C95E32">
        <w:t xml:space="preserve"> pulp. In the pulp extraction stage, the seed is separated and sent to wash (stream 8) to obtain the clean seed and a pulp-water mixture. The pulp obtained from the extraction stage (stream 7) is mixed with the remaining pulp from the washing stages (stream 17) and homogenized; then, it </w:t>
      </w:r>
      <w:r w:rsidRPr="00EC1757">
        <w:t>leads to the drying stage where excess water and moisture are removed from the pulp since wet extraction provides low yields (Martinez et al., 1988), this operation occurs at 1 bar of pressure and 70</w:t>
      </w:r>
      <w:r w:rsidR="00EC1757">
        <w:t xml:space="preserve"> </w:t>
      </w:r>
      <w:r w:rsidRPr="00EC1757">
        <w:t>°C (Ariza et al., 2011) before extraction stage.</w:t>
      </w:r>
    </w:p>
    <w:p w14:paraId="71CACD8B" w14:textId="0F2FDBB6" w:rsidR="00787FA5" w:rsidRPr="00C95E32" w:rsidRDefault="001813F0" w:rsidP="00C95E32">
      <w:pPr>
        <w:pStyle w:val="CETBodytext"/>
      </w:pPr>
      <w:r w:rsidRPr="00EC1757">
        <w:t xml:space="preserve">For oil extraction, hexane was selected as a solvent because it is a non-polar substance </w:t>
      </w:r>
      <w:r w:rsidR="00655EDE">
        <w:t>and</w:t>
      </w:r>
      <w:r w:rsidRPr="00EC1757">
        <w:t xml:space="preserve"> is considered a GRAS solvent (generally considered safe); Likewise, aspects such as availability, price, the boiling point that allow easy recovery in evaporation, in addition to being non-hygroscopic, were </w:t>
      </w:r>
      <w:proofErr w:type="gramStart"/>
      <w:r w:rsidRPr="00EC1757">
        <w:t>taken into account</w:t>
      </w:r>
      <w:proofErr w:type="gramEnd"/>
      <w:r w:rsidRPr="00EC1757">
        <w:t xml:space="preserve"> (</w:t>
      </w:r>
      <w:proofErr w:type="spellStart"/>
      <w:r w:rsidRPr="00EC1757">
        <w:t>Mgoma</w:t>
      </w:r>
      <w:proofErr w:type="spellEnd"/>
      <w:r w:rsidRPr="00EC1757">
        <w:t xml:space="preserve"> et al., 2021).  The oil extracted and separated in the distillation stage (stream 26) is refrigerated at room temperature to avoid oxidation processes favored by high temperatures (</w:t>
      </w:r>
      <w:proofErr w:type="spellStart"/>
      <w:r w:rsidRPr="00EC1757">
        <w:t>Robayo</w:t>
      </w:r>
      <w:proofErr w:type="spellEnd"/>
      <w:r w:rsidRPr="00EC1757">
        <w:t xml:space="preserve">, 2016), a production of 1000.06 t/y is obtained; crude avocado oil requires to be refined previous addition into cosmetic products (Cervantes </w:t>
      </w:r>
      <w:r w:rsidR="00EC1757" w:rsidRPr="00EC1757">
        <w:t>and</w:t>
      </w:r>
      <w:r w:rsidRPr="00EC1757">
        <w:t xml:space="preserve"> Yahia, 2021). Hexane separated in the distillation stage (stream 28) is condensed and recirculated </w:t>
      </w:r>
      <w:r w:rsidR="004B4C93">
        <w:t>in</w:t>
      </w:r>
      <w:r w:rsidRPr="00EC1757">
        <w:t xml:space="preserve"> the process.</w:t>
      </w:r>
    </w:p>
    <w:p w14:paraId="7DCECFF1" w14:textId="2F033238" w:rsidR="004908C5" w:rsidRDefault="004908C5" w:rsidP="000632E5">
      <w:pPr>
        <w:pStyle w:val="CETBodytext"/>
        <w:jc w:val="left"/>
        <w:rPr>
          <w:lang w:val="en-GB"/>
        </w:rPr>
      </w:pPr>
      <w:r>
        <w:rPr>
          <w:noProof/>
        </w:rPr>
        <w:drawing>
          <wp:inline distT="0" distB="0" distL="0" distR="0" wp14:anchorId="28AA5AFF" wp14:editId="67FF684D">
            <wp:extent cx="4175185" cy="205207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ÑSD.PNG"/>
                    <pic:cNvPicPr/>
                  </pic:nvPicPr>
                  <pic:blipFill>
                    <a:blip r:embed="rId10">
                      <a:extLst>
                        <a:ext uri="{28A0092B-C50C-407E-A947-70E740481C1C}">
                          <a14:useLocalDpi xmlns:a14="http://schemas.microsoft.com/office/drawing/2010/main" val="0"/>
                        </a:ext>
                      </a:extLst>
                    </a:blip>
                    <a:stretch>
                      <a:fillRect/>
                    </a:stretch>
                  </pic:blipFill>
                  <pic:spPr>
                    <a:xfrm>
                      <a:off x="0" y="0"/>
                      <a:ext cx="4261544" cy="2094524"/>
                    </a:xfrm>
                    <a:prstGeom prst="rect">
                      <a:avLst/>
                    </a:prstGeom>
                  </pic:spPr>
                </pic:pic>
              </a:graphicData>
            </a:graphic>
          </wp:inline>
        </w:drawing>
      </w:r>
    </w:p>
    <w:p w14:paraId="2EF6CCD9" w14:textId="6C88519A" w:rsidR="003B05B2" w:rsidRDefault="00D22694" w:rsidP="007E3F46">
      <w:pPr>
        <w:pStyle w:val="CETCaption"/>
      </w:pPr>
      <w:r w:rsidRPr="00BD077D">
        <w:rPr>
          <w:rStyle w:val="CETCaptionCarattere"/>
        </w:rPr>
        <w:t xml:space="preserve">Figure 1: </w:t>
      </w:r>
      <w:r w:rsidR="00E063AC">
        <w:rPr>
          <w:rStyle w:val="CETCaptionCarattere"/>
        </w:rPr>
        <w:t xml:space="preserve">Creole </w:t>
      </w:r>
      <w:r w:rsidR="00787FA5" w:rsidRPr="00787FA5">
        <w:rPr>
          <w:rStyle w:val="CETCaptionCarattere"/>
        </w:rPr>
        <w:t xml:space="preserve">avocado oil </w:t>
      </w:r>
      <w:r w:rsidR="00787FA5">
        <w:rPr>
          <w:rStyle w:val="CETCaptionCarattere"/>
        </w:rPr>
        <w:t>extraction</w:t>
      </w:r>
      <w:r w:rsidR="00787FA5" w:rsidRPr="00787FA5">
        <w:rPr>
          <w:rStyle w:val="CETCaptionCarattere"/>
        </w:rPr>
        <w:t xml:space="preserve"> using hexane as solvent</w:t>
      </w:r>
      <w:r w:rsidR="00787FA5">
        <w:rPr>
          <w:rStyle w:val="CETCaptionCarattere"/>
        </w:rPr>
        <w:t>.</w:t>
      </w:r>
    </w:p>
    <w:p w14:paraId="6F499181" w14:textId="1DDB3560" w:rsidR="00F771D3" w:rsidRPr="007E3F46" w:rsidRDefault="004B07C1" w:rsidP="007E3F46">
      <w:pPr>
        <w:pStyle w:val="CETheadingx"/>
      </w:pPr>
      <w:r w:rsidRPr="007E3F46">
        <w:t xml:space="preserve">Techno-economic </w:t>
      </w:r>
      <w:r w:rsidR="00E063AC" w:rsidRPr="007E3F46">
        <w:t>evaluation</w:t>
      </w:r>
    </w:p>
    <w:p w14:paraId="294073C9" w14:textId="06551DDE" w:rsidR="00F771D3" w:rsidRDefault="004F43A0" w:rsidP="00C95E32">
      <w:pPr>
        <w:pStyle w:val="CETBodytext"/>
      </w:pPr>
      <w:r w:rsidRPr="00C95E32">
        <w:t>To develop the economic evaluation of the avocado oil extraction plant, the model proposed by El-</w:t>
      </w:r>
      <w:r w:rsidR="00DC6BF8" w:rsidRPr="00C95E32">
        <w:t>Halwagi</w:t>
      </w:r>
      <w:r w:rsidRPr="00C95E32">
        <w:t xml:space="preserve"> was followed, based on costs estimation and chemical processes economics; for which different equations were used to observe process behavior and profitability (El-Halwagi, 2012). To calculate primary costs as operating costs and capital investment the incoming equations were applied:</w:t>
      </w:r>
    </w:p>
    <w:tbl>
      <w:tblPr>
        <w:tblStyle w:val="Tabladecuadrcula2"/>
        <w:tblW w:w="492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88"/>
        <w:gridCol w:w="1558"/>
      </w:tblGrid>
      <w:tr w:rsidR="002C5393" w:rsidRPr="002C5393" w14:paraId="5DBBCEC1" w14:textId="77777777" w:rsidTr="002C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Borders>
              <w:top w:val="none" w:sz="0" w:space="0" w:color="auto"/>
              <w:bottom w:val="none" w:sz="0" w:space="0" w:color="auto"/>
              <w:right w:val="none" w:sz="0" w:space="0" w:color="auto"/>
            </w:tcBorders>
            <w:shd w:val="clear" w:color="auto" w:fill="auto"/>
          </w:tcPr>
          <w:p w14:paraId="5BAA2167" w14:textId="011633C6" w:rsidR="002C5393" w:rsidRPr="002C5393" w:rsidRDefault="002C5393" w:rsidP="002C5393">
            <w:pPr>
              <w:pStyle w:val="CETEquation"/>
            </w:pPr>
            <m:oMathPara>
              <m:oMathParaPr>
                <m:jc m:val="left"/>
              </m:oMathParaPr>
              <m:oMath>
                <m:r>
                  <m:rPr>
                    <m:sty m:val="bi"/>
                  </m:rPr>
                  <w:rPr>
                    <w:rFonts w:ascii="Cambria Math" w:hAnsi="Cambria Math"/>
                  </w:rPr>
                  <m:t>TCI</m:t>
                </m:r>
                <m:r>
                  <m:rPr>
                    <m:sty m:val="b"/>
                  </m:rPr>
                  <w:rPr>
                    <w:rFonts w:ascii="Cambria Math" w:hAnsi="Cambria Math"/>
                  </w:rPr>
                  <m:t>=</m:t>
                </m:r>
                <m:r>
                  <m:rPr>
                    <m:sty m:val="bi"/>
                  </m:rPr>
                  <w:rPr>
                    <w:rFonts w:ascii="Cambria Math" w:hAnsi="Cambria Math"/>
                  </w:rPr>
                  <m:t>FCI</m:t>
                </m:r>
                <m:r>
                  <m:rPr>
                    <m:sty m:val="b"/>
                  </m:rPr>
                  <w:rPr>
                    <w:rFonts w:ascii="Cambria Math" w:hAnsi="Cambria Math"/>
                  </w:rPr>
                  <m:t>+</m:t>
                </m:r>
                <m:r>
                  <m:rPr>
                    <m:sty m:val="bi"/>
                  </m:rPr>
                  <w:rPr>
                    <w:rFonts w:ascii="Cambria Math" w:hAnsi="Cambria Math"/>
                  </w:rPr>
                  <m:t>WCI</m:t>
                </m:r>
                <m:r>
                  <m:rPr>
                    <m:sty m:val="b"/>
                  </m:rPr>
                  <w:rPr>
                    <w:rFonts w:ascii="Cambria Math" w:hAnsi="Cambria Math"/>
                  </w:rPr>
                  <m:t>+</m:t>
                </m:r>
                <m:r>
                  <m:rPr>
                    <m:sty m:val="bi"/>
                  </m:rPr>
                  <w:rPr>
                    <w:rFonts w:ascii="Cambria Math" w:hAnsi="Cambria Math"/>
                  </w:rPr>
                  <m:t>SUC</m:t>
                </m:r>
              </m:oMath>
            </m:oMathPara>
          </w:p>
        </w:tc>
        <w:tc>
          <w:tcPr>
            <w:tcW w:w="901" w:type="pct"/>
            <w:tcBorders>
              <w:top w:val="none" w:sz="0" w:space="0" w:color="auto"/>
              <w:left w:val="none" w:sz="0" w:space="0" w:color="auto"/>
              <w:bottom w:val="none" w:sz="0" w:space="0" w:color="auto"/>
            </w:tcBorders>
            <w:shd w:val="clear" w:color="auto" w:fill="auto"/>
          </w:tcPr>
          <w:p w14:paraId="28D064E8" w14:textId="77777777" w:rsidR="002C5393" w:rsidRPr="002C5393" w:rsidRDefault="002C5393" w:rsidP="002C5393">
            <w:pPr>
              <w:pStyle w:val="CETEquation"/>
              <w:cnfStyle w:val="100000000000" w:firstRow="1" w:lastRow="0" w:firstColumn="0" w:lastColumn="0" w:oddVBand="0" w:evenVBand="0" w:oddHBand="0" w:evenHBand="0" w:firstRowFirstColumn="0" w:firstRowLastColumn="0" w:lastRowFirstColumn="0" w:lastRowLastColumn="0"/>
              <w:rPr>
                <w:b w:val="0"/>
                <w:bCs w:val="0"/>
              </w:rPr>
            </w:pPr>
            <w:r w:rsidRPr="002C5393">
              <w:rPr>
                <w:b w:val="0"/>
                <w:bCs w:val="0"/>
              </w:rPr>
              <w:t>(1)</w:t>
            </w:r>
          </w:p>
        </w:tc>
      </w:tr>
      <w:tr w:rsidR="002C5393" w:rsidRPr="002C5393" w14:paraId="6EDA4E7F" w14:textId="77777777" w:rsidTr="00094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08F79DFB" w14:textId="57F4D16D" w:rsidR="002C5393" w:rsidRPr="002C5393" w:rsidRDefault="002C5393" w:rsidP="002C5393">
            <w:pPr>
              <w:pStyle w:val="CETEquation"/>
            </w:pPr>
            <m:oMathPara>
              <m:oMathParaPr>
                <m:jc m:val="left"/>
              </m:oMathParaPr>
              <m:oMath>
                <m:r>
                  <m:rPr>
                    <m:sty m:val="bi"/>
                  </m:rPr>
                  <w:rPr>
                    <w:rFonts w:ascii="Cambria Math" w:hAnsi="Cambria Math"/>
                  </w:rPr>
                  <m:t>OC</m:t>
                </m:r>
                <m:r>
                  <m:rPr>
                    <m:sty m:val="b"/>
                  </m:rPr>
                  <w:rPr>
                    <w:rFonts w:ascii="Cambria Math" w:hAnsi="Cambria Math"/>
                  </w:rPr>
                  <m:t>=</m:t>
                </m:r>
                <m:r>
                  <m:rPr>
                    <m:sty m:val="bi"/>
                  </m:rPr>
                  <w:rPr>
                    <w:rFonts w:ascii="Cambria Math" w:hAnsi="Cambria Math"/>
                  </w:rPr>
                  <m:t>DPC</m:t>
                </m:r>
                <m:r>
                  <m:rPr>
                    <m:sty m:val="b"/>
                  </m:rPr>
                  <w:rPr>
                    <w:rFonts w:ascii="Cambria Math" w:hAnsi="Cambria Math"/>
                  </w:rPr>
                  <m:t>+</m:t>
                </m:r>
                <m:r>
                  <m:rPr>
                    <m:sty m:val="bi"/>
                  </m:rPr>
                  <w:rPr>
                    <w:rFonts w:ascii="Cambria Math" w:hAnsi="Cambria Math"/>
                  </w:rPr>
                  <m:t>FCH</m:t>
                </m:r>
                <m:r>
                  <m:rPr>
                    <m:sty m:val="b"/>
                  </m:rPr>
                  <w:rPr>
                    <w:rFonts w:ascii="Cambria Math" w:hAnsi="Cambria Math"/>
                  </w:rPr>
                  <m:t>+</m:t>
                </m:r>
                <m:r>
                  <m:rPr>
                    <m:sty m:val="bi"/>
                  </m:rPr>
                  <w:rPr>
                    <w:rFonts w:ascii="Cambria Math" w:hAnsi="Cambria Math"/>
                  </w:rPr>
                  <m:t>POH</m:t>
                </m:r>
                <m:r>
                  <m:rPr>
                    <m:sty m:val="b"/>
                  </m:rPr>
                  <w:rPr>
                    <w:rFonts w:ascii="Cambria Math" w:hAnsi="Cambria Math"/>
                  </w:rPr>
                  <m:t>+</m:t>
                </m:r>
                <m:r>
                  <m:rPr>
                    <m:sty m:val="bi"/>
                  </m:rPr>
                  <w:rPr>
                    <w:rFonts w:ascii="Cambria Math" w:hAnsi="Cambria Math"/>
                  </w:rPr>
                  <m:t>GE</m:t>
                </m:r>
              </m:oMath>
            </m:oMathPara>
          </w:p>
        </w:tc>
        <w:tc>
          <w:tcPr>
            <w:tcW w:w="901" w:type="pct"/>
            <w:shd w:val="clear" w:color="auto" w:fill="auto"/>
          </w:tcPr>
          <w:p w14:paraId="1E744DD3" w14:textId="77777777" w:rsidR="002C5393" w:rsidRPr="002C5393" w:rsidRDefault="002C5393" w:rsidP="002C5393">
            <w:pPr>
              <w:pStyle w:val="CETEquation"/>
              <w:cnfStyle w:val="000000100000" w:firstRow="0" w:lastRow="0" w:firstColumn="0" w:lastColumn="0" w:oddVBand="0" w:evenVBand="0" w:oddHBand="1" w:evenHBand="0" w:firstRowFirstColumn="0" w:firstRowLastColumn="0" w:lastRowFirstColumn="0" w:lastRowLastColumn="0"/>
            </w:pPr>
            <w:r w:rsidRPr="002C5393">
              <w:t>(2)</w:t>
            </w:r>
          </w:p>
        </w:tc>
      </w:tr>
      <w:tr w:rsidR="002C5393" w:rsidRPr="002C5393" w14:paraId="386B9066" w14:textId="77777777" w:rsidTr="002C5393">
        <w:trPr>
          <w:trHeight w:val="607"/>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70C99AE2" w14:textId="369E7C5E" w:rsidR="002C5393" w:rsidRPr="002C5393" w:rsidRDefault="002C5393" w:rsidP="002C5393">
            <w:pPr>
              <w:pStyle w:val="CETEquation"/>
            </w:pPr>
            <m:oMathPara>
              <m:oMathParaPr>
                <m:jc m:val="left"/>
              </m:oMathParaPr>
              <m:oMath>
                <m:r>
                  <m:rPr>
                    <m:sty m:val="bi"/>
                  </m:rPr>
                  <w:rPr>
                    <w:rFonts w:ascii="Cambria Math" w:hAnsi="Cambria Math"/>
                  </w:rPr>
                  <m:t>DGP</m:t>
                </m:r>
                <m:r>
                  <m:rPr>
                    <m:sty m:val="b"/>
                  </m:rPr>
                  <w:rPr>
                    <w:rFonts w:ascii="Cambria Math" w:hAnsi="Cambria Math"/>
                  </w:rPr>
                  <m:t>=</m:t>
                </m:r>
                <m:nary>
                  <m:naryPr>
                    <m:chr m:val="∑"/>
                    <m:limLoc m:val="undOvr"/>
                    <m:supHide m:val="1"/>
                    <m:ctrlPr>
                      <w:rPr>
                        <w:rFonts w:ascii="Cambria Math" w:hAnsi="Cambria Math"/>
                      </w:rPr>
                    </m:ctrlPr>
                  </m:naryPr>
                  <m:sub>
                    <m:r>
                      <m:rPr>
                        <m:sty m:val="bi"/>
                      </m:rPr>
                      <w:rPr>
                        <w:rFonts w:ascii="Cambria Math" w:hAnsi="Cambria Math"/>
                      </w:rPr>
                      <m:t>i</m:t>
                    </m:r>
                  </m:sub>
                  <m:sup/>
                  <m:e>
                    <m:sSub>
                      <m:sSubPr>
                        <m:ctrlPr>
                          <w:rPr>
                            <w:rFonts w:ascii="Cambria Math" w:hAnsi="Cambria Math"/>
                          </w:rPr>
                        </m:ctrlPr>
                      </m:sSubPr>
                      <m:e>
                        <m:r>
                          <m:rPr>
                            <m:sty m:val="bi"/>
                          </m:rPr>
                          <w:rPr>
                            <w:rFonts w:ascii="Cambria Math" w:hAnsi="Cambria Math"/>
                          </w:rPr>
                          <m:t>m</m:t>
                        </m:r>
                      </m:e>
                      <m:sub>
                        <m:r>
                          <m:rPr>
                            <m:sty m:val="bi"/>
                          </m:rPr>
                          <w:rPr>
                            <w:rFonts w:ascii="Cambria Math" w:hAnsi="Cambria Math"/>
                          </w:rPr>
                          <m:t>i</m:t>
                        </m:r>
                      </m:sub>
                    </m:sSub>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i</m:t>
                        </m:r>
                      </m:sub>
                      <m:sup>
                        <m:r>
                          <m:rPr>
                            <m:sty m:val="bi"/>
                          </m:rPr>
                          <w:rPr>
                            <w:rFonts w:ascii="Cambria Math" w:hAnsi="Cambria Math"/>
                          </w:rPr>
                          <m:t>v</m:t>
                        </m:r>
                      </m:sup>
                    </m:sSubSup>
                    <m:r>
                      <m:rPr>
                        <m:sty m:val="b"/>
                      </m:rPr>
                      <w:rPr>
                        <w:rFonts w:ascii="Cambria Math" w:hAnsi="Cambria Math"/>
                      </w:rPr>
                      <m:t>-</m:t>
                    </m:r>
                    <m:r>
                      <m:rPr>
                        <m:sty m:val="bi"/>
                      </m:rPr>
                      <w:rPr>
                        <w:rFonts w:ascii="Cambria Math" w:hAnsi="Cambria Math"/>
                      </w:rPr>
                      <m:t>TAC</m:t>
                    </m:r>
                    <m:r>
                      <m:rPr>
                        <m:sty m:val="b"/>
                      </m:rPr>
                      <w:rPr>
                        <w:rFonts w:ascii="Cambria Math" w:hAnsi="Cambria Math"/>
                      </w:rPr>
                      <m:t xml:space="preserve">                         </m:t>
                    </m:r>
                  </m:e>
                </m:nary>
              </m:oMath>
            </m:oMathPara>
          </w:p>
        </w:tc>
        <w:tc>
          <w:tcPr>
            <w:tcW w:w="901" w:type="pct"/>
            <w:shd w:val="clear" w:color="auto" w:fill="auto"/>
          </w:tcPr>
          <w:p w14:paraId="0147BEB3" w14:textId="44B54D45" w:rsidR="002C5393" w:rsidRPr="002C5393" w:rsidRDefault="002C5393" w:rsidP="002C5393">
            <w:pPr>
              <w:pStyle w:val="CETEquation"/>
              <w:cnfStyle w:val="000000000000" w:firstRow="0" w:lastRow="0" w:firstColumn="0" w:lastColumn="0" w:oddVBand="0" w:evenVBand="0" w:oddHBand="0" w:evenHBand="0" w:firstRowFirstColumn="0" w:firstRowLastColumn="0" w:lastRowFirstColumn="0" w:lastRowLastColumn="0"/>
            </w:pPr>
            <w:r w:rsidRPr="002C5393">
              <w:t>(3)</w:t>
            </w:r>
          </w:p>
        </w:tc>
      </w:tr>
      <w:tr w:rsidR="002C5393" w:rsidRPr="002C5393" w14:paraId="190ACF1F" w14:textId="77777777" w:rsidTr="00094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18904D59" w14:textId="087F11E4" w:rsidR="002C5393" w:rsidRPr="002C5393" w:rsidRDefault="002C5393" w:rsidP="002C5393">
            <w:pPr>
              <w:pStyle w:val="CETEquation"/>
            </w:pPr>
            <m:oMathPara>
              <m:oMathParaPr>
                <m:jc m:val="left"/>
              </m:oMathParaPr>
              <m:oMath>
                <m:r>
                  <m:rPr>
                    <m:sty m:val="bi"/>
                  </m:rPr>
                  <w:rPr>
                    <w:rFonts w:ascii="Cambria Math" w:hAnsi="Cambria Math"/>
                  </w:rPr>
                  <m:t>TAC</m:t>
                </m:r>
                <m:r>
                  <m:rPr>
                    <m:sty m:val="b"/>
                  </m:rPr>
                  <w:rPr>
                    <w:rFonts w:ascii="Cambria Math" w:hAnsi="Cambria Math"/>
                  </w:rPr>
                  <m:t>=</m:t>
                </m:r>
                <m:r>
                  <m:rPr>
                    <m:sty m:val="bi"/>
                  </m:rPr>
                  <w:rPr>
                    <w:rFonts w:ascii="Cambria Math" w:hAnsi="Cambria Math"/>
                  </w:rPr>
                  <m:t>ACF</m:t>
                </m:r>
                <m:r>
                  <m:rPr>
                    <m:sty m:val="b"/>
                  </m:rPr>
                  <w:rPr>
                    <w:rFonts w:ascii="Cambria Math" w:hAnsi="Cambria Math"/>
                  </w:rPr>
                  <m:t>+</m:t>
                </m:r>
                <m:r>
                  <m:rPr>
                    <m:sty m:val="bi"/>
                  </m:rPr>
                  <w:rPr>
                    <w:rFonts w:ascii="Cambria Math" w:hAnsi="Cambria Math"/>
                  </w:rPr>
                  <m:t>AOC</m:t>
                </m:r>
              </m:oMath>
            </m:oMathPara>
          </w:p>
        </w:tc>
        <w:tc>
          <w:tcPr>
            <w:tcW w:w="901" w:type="pct"/>
            <w:shd w:val="clear" w:color="auto" w:fill="auto"/>
          </w:tcPr>
          <w:p w14:paraId="72F4165C" w14:textId="2102F112" w:rsidR="002C5393" w:rsidRPr="002C5393" w:rsidRDefault="002C5393" w:rsidP="002C5393">
            <w:pPr>
              <w:pStyle w:val="CETEquation"/>
              <w:cnfStyle w:val="000000100000" w:firstRow="0" w:lastRow="0" w:firstColumn="0" w:lastColumn="0" w:oddVBand="0" w:evenVBand="0" w:oddHBand="1" w:evenHBand="0" w:firstRowFirstColumn="0" w:firstRowLastColumn="0" w:lastRowFirstColumn="0" w:lastRowLastColumn="0"/>
            </w:pPr>
            <w:r w:rsidRPr="002C5393">
              <w:t>(4)</w:t>
            </w:r>
          </w:p>
        </w:tc>
      </w:tr>
      <w:tr w:rsidR="002C5393" w:rsidRPr="002C5393" w14:paraId="17C2743E" w14:textId="77777777" w:rsidTr="0009430D">
        <w:trPr>
          <w:trHeight w:val="146"/>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48025CD7" w14:textId="2E62DA65" w:rsidR="002C5393" w:rsidRPr="002C5393" w:rsidRDefault="002C5393" w:rsidP="002C5393">
            <w:pPr>
              <w:pStyle w:val="CETEquation"/>
            </w:pPr>
            <m:oMathPara>
              <m:oMathParaPr>
                <m:jc m:val="left"/>
              </m:oMathParaPr>
              <m:oMath>
                <m:r>
                  <m:rPr>
                    <m:sty m:val="bi"/>
                  </m:rPr>
                  <w:rPr>
                    <w:rFonts w:ascii="Cambria Math" w:hAnsi="Cambria Math"/>
                  </w:rPr>
                  <m:t>ACF</m:t>
                </m:r>
                <m:r>
                  <m:rPr>
                    <m:sty m:val="b"/>
                  </m:rPr>
                  <w:rPr>
                    <w:rFonts w:ascii="Cambria Math" w:hAnsi="Cambria Math"/>
                  </w:rPr>
                  <m:t>=</m:t>
                </m:r>
                <m:f>
                  <m:fPr>
                    <m:ctrlPr>
                      <w:rPr>
                        <w:rFonts w:ascii="Cambria Math" w:hAnsi="Cambria Math"/>
                      </w:rPr>
                    </m:ctrlPr>
                  </m:fPr>
                  <m:num>
                    <m:r>
                      <m:rPr>
                        <m:sty m:val="bi"/>
                      </m:rPr>
                      <w:rPr>
                        <w:rFonts w:ascii="Cambria Math" w:hAnsi="Cambria Math"/>
                      </w:rPr>
                      <m:t>FC</m:t>
                    </m:r>
                    <m:sSub>
                      <m:sSubPr>
                        <m:ctrlPr>
                          <w:rPr>
                            <w:rFonts w:ascii="Cambria Math" w:hAnsi="Cambria Math"/>
                          </w:rPr>
                        </m:ctrlPr>
                      </m:sSubPr>
                      <m:e>
                        <m:r>
                          <m:rPr>
                            <m:sty m:val="bi"/>
                          </m:rPr>
                          <w:rPr>
                            <w:rFonts w:ascii="Cambria Math" w:hAnsi="Cambria Math"/>
                          </w:rPr>
                          <m:t>I</m:t>
                        </m:r>
                      </m:e>
                      <m:sub>
                        <m:r>
                          <m:rPr>
                            <m:sty m:val="b"/>
                          </m:rPr>
                          <w:rPr>
                            <w:rFonts w:ascii="Cambria Math" w:hAnsi="Cambria Math"/>
                          </w:rPr>
                          <m:t>0</m:t>
                        </m:r>
                      </m:sub>
                    </m:sSub>
                    <m:r>
                      <m:rPr>
                        <m:sty m:val="b"/>
                      </m:rPr>
                      <w:rPr>
                        <w:rFonts w:ascii="Cambria Math" w:hAnsi="Cambria Math"/>
                      </w:rPr>
                      <m:t>-</m:t>
                    </m:r>
                    <m:r>
                      <m:rPr>
                        <m:sty m:val="bi"/>
                      </m:rPr>
                      <w:rPr>
                        <w:rFonts w:ascii="Cambria Math" w:hAnsi="Cambria Math"/>
                      </w:rPr>
                      <m:t>FC</m:t>
                    </m:r>
                    <m:sSub>
                      <m:sSubPr>
                        <m:ctrlPr>
                          <w:rPr>
                            <w:rFonts w:ascii="Cambria Math" w:hAnsi="Cambria Math"/>
                          </w:rPr>
                        </m:ctrlPr>
                      </m:sSubPr>
                      <m:e>
                        <m:r>
                          <m:rPr>
                            <m:sty m:val="bi"/>
                          </m:rPr>
                          <w:rPr>
                            <w:rFonts w:ascii="Cambria Math" w:hAnsi="Cambria Math"/>
                          </w:rPr>
                          <m:t>I</m:t>
                        </m:r>
                      </m:e>
                      <m:sub>
                        <m:r>
                          <m:rPr>
                            <m:sty m:val="bi"/>
                          </m:rPr>
                          <w:rPr>
                            <w:rFonts w:ascii="Cambria Math" w:hAnsi="Cambria Math"/>
                          </w:rPr>
                          <m:t>S</m:t>
                        </m:r>
                      </m:sub>
                    </m:sSub>
                  </m:num>
                  <m:den>
                    <m:r>
                      <m:rPr>
                        <m:sty m:val="bi"/>
                      </m:rPr>
                      <w:rPr>
                        <w:rFonts w:ascii="Cambria Math" w:hAnsi="Cambria Math"/>
                      </w:rPr>
                      <m:t>N</m:t>
                    </m:r>
                  </m:den>
                </m:f>
              </m:oMath>
            </m:oMathPara>
          </w:p>
        </w:tc>
        <w:tc>
          <w:tcPr>
            <w:tcW w:w="901" w:type="pct"/>
            <w:shd w:val="clear" w:color="auto" w:fill="auto"/>
          </w:tcPr>
          <w:p w14:paraId="1DB083F1" w14:textId="21169A55" w:rsidR="002C5393" w:rsidRPr="002C5393" w:rsidRDefault="002C5393" w:rsidP="002C5393">
            <w:pPr>
              <w:pStyle w:val="CETEquation"/>
              <w:cnfStyle w:val="000000000000" w:firstRow="0" w:lastRow="0" w:firstColumn="0" w:lastColumn="0" w:oddVBand="0" w:evenVBand="0" w:oddHBand="0" w:evenHBand="0" w:firstRowFirstColumn="0" w:firstRowLastColumn="0" w:lastRowFirstColumn="0" w:lastRowLastColumn="0"/>
            </w:pPr>
            <w:r w:rsidRPr="002C5393">
              <w:t>(5)</w:t>
            </w:r>
          </w:p>
        </w:tc>
      </w:tr>
      <w:tr w:rsidR="002C5393" w:rsidRPr="002C5393" w14:paraId="110A2BD7" w14:textId="77777777" w:rsidTr="0009430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72B3E79B" w14:textId="7A0E318E" w:rsidR="002C5393" w:rsidRPr="002C5393" w:rsidRDefault="002C5393" w:rsidP="002C5393">
            <w:pPr>
              <w:pStyle w:val="CETEquation"/>
            </w:pPr>
            <m:oMathPara>
              <m:oMathParaPr>
                <m:jc m:val="left"/>
              </m:oMathParaPr>
              <m:oMath>
                <m:r>
                  <m:rPr>
                    <m:sty m:val="bi"/>
                  </m:rPr>
                  <w:rPr>
                    <w:rFonts w:ascii="Cambria Math" w:hAnsi="Cambria Math"/>
                  </w:rPr>
                  <w:lastRenderedPageBreak/>
                  <m:t>ACR</m:t>
                </m:r>
                <m:r>
                  <m:rPr>
                    <m:sty m:val="b"/>
                  </m:rPr>
                  <w:rPr>
                    <w:rFonts w:ascii="Cambria Math" w:hAnsi="Cambria Math"/>
                  </w:rPr>
                  <m:t>=</m:t>
                </m:r>
                <m:r>
                  <m:rPr>
                    <m:sty m:val="bi"/>
                  </m:rPr>
                  <w:rPr>
                    <w:rFonts w:ascii="Cambria Math" w:hAnsi="Cambria Math"/>
                  </w:rPr>
                  <m:t>NPV</m:t>
                </m:r>
                <m:r>
                  <m:rPr>
                    <m:sty m:val="b"/>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bi"/>
                          </m:rPr>
                          <w:rPr>
                            <w:rFonts w:ascii="Cambria Math" w:hAnsi="Cambria Math"/>
                          </w:rPr>
                          <m:t>i</m:t>
                        </m:r>
                        <m:sSup>
                          <m:sSupPr>
                            <m:ctrlPr>
                              <w:rPr>
                                <w:rFonts w:ascii="Cambria Math" w:hAnsi="Cambria Math"/>
                              </w:rPr>
                            </m:ctrlPr>
                          </m:sSupPr>
                          <m:e>
                            <m:r>
                              <m:rPr>
                                <m:sty m:val="b"/>
                              </m:rPr>
                              <w:rPr>
                                <w:rFonts w:ascii="Cambria Math" w:hAnsi="Cambria Math"/>
                              </w:rPr>
                              <m:t>(1+</m:t>
                            </m:r>
                            <m:r>
                              <m:rPr>
                                <m:sty m:val="bi"/>
                              </m:rPr>
                              <w:rPr>
                                <w:rFonts w:ascii="Cambria Math" w:hAnsi="Cambria Math"/>
                              </w:rPr>
                              <m:t>i</m:t>
                            </m:r>
                            <m:r>
                              <m:rPr>
                                <m:sty m:val="b"/>
                              </m:rPr>
                              <w:rPr>
                                <w:rFonts w:ascii="Cambria Math" w:hAnsi="Cambria Math"/>
                              </w:rPr>
                              <m:t>)</m:t>
                            </m:r>
                          </m:e>
                          <m:sup>
                            <m:r>
                              <m:rPr>
                                <m:sty m:val="bi"/>
                              </m:rPr>
                              <w:rPr>
                                <w:rFonts w:ascii="Cambria Math" w:hAnsi="Cambria Math"/>
                              </w:rPr>
                              <m:t>n</m:t>
                            </m:r>
                          </m:sup>
                        </m:sSup>
                      </m:num>
                      <m:den>
                        <m:sSup>
                          <m:sSupPr>
                            <m:ctrlPr>
                              <w:rPr>
                                <w:rFonts w:ascii="Cambria Math" w:hAnsi="Cambria Math"/>
                              </w:rPr>
                            </m:ctrlPr>
                          </m:sSupPr>
                          <m:e>
                            <m:r>
                              <m:rPr>
                                <m:sty m:val="b"/>
                              </m:rPr>
                              <w:rPr>
                                <w:rFonts w:ascii="Cambria Math" w:hAnsi="Cambria Math"/>
                              </w:rPr>
                              <m:t>(1+</m:t>
                            </m:r>
                            <m:r>
                              <m:rPr>
                                <m:sty m:val="bi"/>
                              </m:rPr>
                              <w:rPr>
                                <w:rFonts w:ascii="Cambria Math" w:hAnsi="Cambria Math"/>
                              </w:rPr>
                              <m:t>i</m:t>
                            </m:r>
                            <m:r>
                              <m:rPr>
                                <m:sty m:val="b"/>
                              </m:rPr>
                              <w:rPr>
                                <w:rFonts w:ascii="Cambria Math" w:hAnsi="Cambria Math"/>
                              </w:rPr>
                              <m:t>)</m:t>
                            </m:r>
                          </m:e>
                          <m:sup>
                            <m:r>
                              <m:rPr>
                                <m:sty m:val="bi"/>
                              </m:rPr>
                              <w:rPr>
                                <w:rFonts w:ascii="Cambria Math" w:hAnsi="Cambria Math"/>
                              </w:rPr>
                              <m:t>n</m:t>
                            </m:r>
                          </m:sup>
                        </m:sSup>
                        <m:r>
                          <m:rPr>
                            <m:sty m:val="b"/>
                          </m:rPr>
                          <w:rPr>
                            <w:rFonts w:ascii="Cambria Math" w:hAnsi="Cambria Math"/>
                          </w:rPr>
                          <m:t>-1</m:t>
                        </m:r>
                      </m:den>
                    </m:f>
                  </m:e>
                </m:d>
              </m:oMath>
            </m:oMathPara>
          </w:p>
        </w:tc>
        <w:tc>
          <w:tcPr>
            <w:tcW w:w="901" w:type="pct"/>
            <w:shd w:val="clear" w:color="auto" w:fill="auto"/>
          </w:tcPr>
          <w:p w14:paraId="7AC92129" w14:textId="4BB0BFFD" w:rsidR="002C5393" w:rsidRPr="002C5393" w:rsidRDefault="002C5393" w:rsidP="002C5393">
            <w:pPr>
              <w:pStyle w:val="CETEquation"/>
              <w:cnfStyle w:val="000000100000" w:firstRow="0" w:lastRow="0" w:firstColumn="0" w:lastColumn="0" w:oddVBand="0" w:evenVBand="0" w:oddHBand="1" w:evenHBand="0" w:firstRowFirstColumn="0" w:firstRowLastColumn="0" w:lastRowFirstColumn="0" w:lastRowLastColumn="0"/>
            </w:pPr>
            <w:r w:rsidRPr="002C5393">
              <w:t>(6)</w:t>
            </w:r>
          </w:p>
        </w:tc>
      </w:tr>
      <w:tr w:rsidR="002C5393" w:rsidRPr="002C5393" w14:paraId="599ACCC9" w14:textId="77777777" w:rsidTr="0009430D">
        <w:trPr>
          <w:trHeight w:val="732"/>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19F23123" w14:textId="22F2E119" w:rsidR="002C5393" w:rsidRPr="002C5393" w:rsidRDefault="002C5393" w:rsidP="002C5393">
            <w:pPr>
              <w:pStyle w:val="CETEquation"/>
            </w:pPr>
            <m:oMathPara>
              <m:oMathParaPr>
                <m:jc m:val="left"/>
              </m:oMathParaPr>
              <m:oMath>
                <m:r>
                  <m:rPr>
                    <m:sty m:val="bi"/>
                  </m:rPr>
                  <w:rPr>
                    <w:rFonts w:ascii="Cambria Math" w:hAnsi="Cambria Math" w:cs="Arial"/>
                    <w:szCs w:val="18"/>
                    <w:lang w:val="es-CO"/>
                  </w:rPr>
                  <m:t>NPV</m:t>
                </m:r>
                <m:r>
                  <m:rPr>
                    <m:sty m:val="bi"/>
                  </m:rPr>
                  <w:rPr>
                    <w:rFonts w:ascii="Cambria Math" w:hAnsi="Cambria Math" w:cs="Arial"/>
                    <w:szCs w:val="18"/>
                  </w:rPr>
                  <m:t>=</m:t>
                </m:r>
                <m:nary>
                  <m:naryPr>
                    <m:chr m:val="∑"/>
                    <m:limLoc m:val="undOvr"/>
                    <m:supHide m:val="1"/>
                    <m:ctrlPr>
                      <w:rPr>
                        <w:rFonts w:ascii="Cambria Math" w:hAnsi="Cambria Math" w:cs="Arial"/>
                        <w:i/>
                        <w:szCs w:val="18"/>
                        <w:lang w:val="es-CO"/>
                      </w:rPr>
                    </m:ctrlPr>
                  </m:naryPr>
                  <m:sub>
                    <m:r>
                      <m:rPr>
                        <m:sty m:val="bi"/>
                      </m:rPr>
                      <w:rPr>
                        <w:rFonts w:ascii="Cambria Math" w:hAnsi="Cambria Math" w:cs="Arial"/>
                        <w:szCs w:val="18"/>
                        <w:lang w:val="es-CO"/>
                      </w:rPr>
                      <m:t>n</m:t>
                    </m:r>
                  </m:sub>
                  <m:sup/>
                  <m:e>
                    <m:sSup>
                      <m:sSupPr>
                        <m:ctrlPr>
                          <w:rPr>
                            <w:rFonts w:ascii="Cambria Math" w:hAnsi="Cambria Math" w:cs="Arial"/>
                            <w:i/>
                            <w:szCs w:val="18"/>
                            <w:lang w:val="es-CO"/>
                          </w:rPr>
                        </m:ctrlPr>
                      </m:sSupPr>
                      <m:e>
                        <m:sSub>
                          <m:sSubPr>
                            <m:ctrlPr>
                              <w:rPr>
                                <w:rFonts w:ascii="Cambria Math" w:hAnsi="Cambria Math" w:cs="Arial"/>
                                <w:i/>
                                <w:szCs w:val="18"/>
                                <w:lang w:val="es-CO"/>
                              </w:rPr>
                            </m:ctrlPr>
                          </m:sSubPr>
                          <m:e>
                            <m:r>
                              <m:rPr>
                                <m:sty m:val="bi"/>
                              </m:rPr>
                              <w:rPr>
                                <w:rFonts w:ascii="Cambria Math" w:hAnsi="Cambria Math" w:cs="Arial"/>
                                <w:szCs w:val="18"/>
                                <w:lang w:val="es-CO"/>
                              </w:rPr>
                              <m:t>AFC</m:t>
                            </m:r>
                          </m:e>
                          <m:sub>
                            <m:r>
                              <m:rPr>
                                <m:sty m:val="bi"/>
                              </m:rPr>
                              <w:rPr>
                                <w:rFonts w:ascii="Cambria Math" w:hAnsi="Cambria Math" w:cs="Arial"/>
                                <w:szCs w:val="18"/>
                                <w:lang w:val="es-CO"/>
                              </w:rPr>
                              <m:t>n</m:t>
                            </m:r>
                          </m:sub>
                        </m:sSub>
                        <m:r>
                          <m:rPr>
                            <m:sty m:val="bi"/>
                          </m:rPr>
                          <w:rPr>
                            <w:rFonts w:ascii="Cambria Math" w:hAnsi="Cambria Math" w:cs="Arial"/>
                            <w:szCs w:val="18"/>
                          </w:rPr>
                          <m:t>(1+</m:t>
                        </m:r>
                        <m:r>
                          <m:rPr>
                            <m:sty m:val="bi"/>
                          </m:rPr>
                          <w:rPr>
                            <w:rFonts w:ascii="Cambria Math" w:hAnsi="Cambria Math" w:cs="Arial"/>
                            <w:szCs w:val="18"/>
                            <w:lang w:val="es-CO"/>
                          </w:rPr>
                          <m:t>i</m:t>
                        </m:r>
                        <m:r>
                          <m:rPr>
                            <m:sty m:val="bi"/>
                          </m:rPr>
                          <w:rPr>
                            <w:rFonts w:ascii="Cambria Math" w:hAnsi="Cambria Math" w:cs="Arial"/>
                            <w:szCs w:val="18"/>
                          </w:rPr>
                          <m:t>)</m:t>
                        </m:r>
                      </m:e>
                      <m:sup>
                        <m:r>
                          <m:rPr>
                            <m:sty m:val="bi"/>
                          </m:rPr>
                          <w:rPr>
                            <w:rFonts w:ascii="Cambria Math" w:hAnsi="Cambria Math" w:cs="Arial"/>
                            <w:szCs w:val="18"/>
                          </w:rPr>
                          <m:t>-</m:t>
                        </m:r>
                        <m:r>
                          <m:rPr>
                            <m:sty m:val="bi"/>
                          </m:rPr>
                          <w:rPr>
                            <w:rFonts w:ascii="Cambria Math" w:hAnsi="Cambria Math" w:cs="Arial"/>
                            <w:szCs w:val="18"/>
                            <w:lang w:val="es-CO"/>
                          </w:rPr>
                          <m:t>n</m:t>
                        </m:r>
                      </m:sup>
                    </m:sSup>
                    <m:r>
                      <m:rPr>
                        <m:sty m:val="bi"/>
                      </m:rPr>
                      <w:rPr>
                        <w:rFonts w:ascii="Cambria Math" w:hAnsi="Cambria Math" w:cs="Arial"/>
                        <w:szCs w:val="18"/>
                      </w:rPr>
                      <m:t xml:space="preserve">                               </m:t>
                    </m:r>
                  </m:e>
                </m:nary>
              </m:oMath>
            </m:oMathPara>
          </w:p>
        </w:tc>
        <w:tc>
          <w:tcPr>
            <w:tcW w:w="901" w:type="pct"/>
            <w:shd w:val="clear" w:color="auto" w:fill="auto"/>
          </w:tcPr>
          <w:p w14:paraId="7B53D18B" w14:textId="04C8453B" w:rsidR="002C5393" w:rsidRPr="002C5393" w:rsidRDefault="002C5393" w:rsidP="002C5393">
            <w:pPr>
              <w:pStyle w:val="CETEquation"/>
              <w:cnfStyle w:val="000000000000" w:firstRow="0" w:lastRow="0" w:firstColumn="0" w:lastColumn="0" w:oddVBand="0" w:evenVBand="0" w:oddHBand="0" w:evenHBand="0" w:firstRowFirstColumn="0" w:firstRowLastColumn="0" w:lastRowFirstColumn="0" w:lastRowLastColumn="0"/>
            </w:pPr>
            <w:r w:rsidRPr="002C5393">
              <w:t>(7)</w:t>
            </w:r>
          </w:p>
        </w:tc>
      </w:tr>
    </w:tbl>
    <w:p w14:paraId="24C2FFE1" w14:textId="410A9F9F" w:rsidR="004F43A0" w:rsidRDefault="002D3EDA" w:rsidP="002A0016">
      <w:pPr>
        <w:pStyle w:val="CETBodytext"/>
      </w:pPr>
      <w:r w:rsidRPr="002D3EDA">
        <w:t xml:space="preserve">Total Capital Investment determined </w:t>
      </w:r>
      <w:r w:rsidR="004B4C93">
        <w:t xml:space="preserve">the </w:t>
      </w:r>
      <w:r w:rsidRPr="002D3EDA">
        <w:t>amount needed to assembly the plant Eq</w:t>
      </w:r>
      <w:r w:rsidR="00004665">
        <w:t>.</w:t>
      </w:r>
      <w:r w:rsidRPr="002D3EDA">
        <w:t xml:space="preserve"> (1), Operational Cost refers to necessary expenses to operate Eq</w:t>
      </w:r>
      <w:r w:rsidR="00004665">
        <w:t xml:space="preserve">. </w:t>
      </w:r>
      <w:r w:rsidRPr="002D3EDA">
        <w:t xml:space="preserve">(2), </w:t>
      </w:r>
      <w:r w:rsidRPr="00EC1757">
        <w:t>Gross Profit including linear depreciation Eq</w:t>
      </w:r>
      <w:r w:rsidR="00004665" w:rsidRPr="00EC1757">
        <w:t>.</w:t>
      </w:r>
      <w:r w:rsidRPr="00EC1757">
        <w:t xml:space="preserve"> (3)</w:t>
      </w:r>
      <w:r w:rsidR="00004665" w:rsidRPr="00EC1757">
        <w:t xml:space="preserve"> </w:t>
      </w:r>
      <w:r w:rsidRPr="00EC1757">
        <w:t>(Romero et al., 2017). Total annualized costs of the process Eq</w:t>
      </w:r>
      <w:r w:rsidR="00004665" w:rsidRPr="00EC1757">
        <w:t>.</w:t>
      </w:r>
      <w:r w:rsidRPr="00EC1757">
        <w:t xml:space="preserve"> (4) can be used in break-even computations.  The Annual net benefit and annual cost/benefit are represented by Eq</w:t>
      </w:r>
      <w:r w:rsidR="00004665" w:rsidRPr="00EC1757">
        <w:t>.</w:t>
      </w:r>
      <w:r w:rsidRPr="00EC1757">
        <w:t xml:space="preserve"> (5) and Eq</w:t>
      </w:r>
      <w:r w:rsidR="00004665" w:rsidRPr="00EC1757">
        <w:t>.</w:t>
      </w:r>
      <w:r w:rsidRPr="00EC1757">
        <w:t xml:space="preserve"> (6) respectively. Likewise, net present value allows adjusting the cash flows to the reference time Eq</w:t>
      </w:r>
      <w:r w:rsidR="00004665" w:rsidRPr="00EC1757">
        <w:t xml:space="preserve">. </w:t>
      </w:r>
      <w:r w:rsidRPr="00EC1757">
        <w:t>(7) (Herrera et al., 2018).</w:t>
      </w:r>
      <w:r w:rsidR="0075660F" w:rsidRPr="00EC1757">
        <w:t xml:space="preserve"> The economic indicators were also calculated, profit after taxes through Eq</w:t>
      </w:r>
      <w:r w:rsidR="00004665" w:rsidRPr="00EC1757">
        <w:t>.</w:t>
      </w:r>
      <w:r w:rsidR="0075660F" w:rsidRPr="00EC1757">
        <w:t xml:space="preserve"> (8)</w:t>
      </w:r>
      <w:r w:rsidR="002A0016">
        <w:t xml:space="preserve">, </w:t>
      </w:r>
      <w:proofErr w:type="spellStart"/>
      <w:r w:rsidR="002A0016">
        <w:rPr>
          <w:rFonts w:eastAsia="SimSun"/>
        </w:rPr>
        <w:t>itr</w:t>
      </w:r>
      <w:proofErr w:type="spellEnd"/>
      <w:r w:rsidR="002A0016" w:rsidRPr="00EA3FDF">
        <w:rPr>
          <w:rFonts w:eastAsia="SimSun"/>
        </w:rPr>
        <w:t xml:space="preserve"> </w:t>
      </w:r>
      <w:r w:rsidR="002A0016">
        <w:rPr>
          <w:rFonts w:eastAsia="SimSun"/>
        </w:rPr>
        <w:t xml:space="preserve">means </w:t>
      </w:r>
      <w:r w:rsidR="004B4C93">
        <w:rPr>
          <w:rFonts w:eastAsia="SimSun"/>
        </w:rPr>
        <w:t xml:space="preserve">the </w:t>
      </w:r>
      <w:r w:rsidR="002A0016">
        <w:rPr>
          <w:rFonts w:eastAsia="SimSun"/>
        </w:rPr>
        <w:t>t</w:t>
      </w:r>
      <w:r w:rsidR="002A0016" w:rsidRPr="00EA3FDF">
        <w:rPr>
          <w:rFonts w:eastAsia="SimSun"/>
        </w:rPr>
        <w:t>ax rate set by the government for income derived from the process</w:t>
      </w:r>
      <w:r w:rsidR="002A0016">
        <w:rPr>
          <w:rFonts w:eastAsia="SimSun"/>
        </w:rPr>
        <w:t>;</w:t>
      </w:r>
      <w:r w:rsidR="0075660F" w:rsidRPr="00EC1757">
        <w:t xml:space="preserve"> cumulative cash flow Eq</w:t>
      </w:r>
      <w:r w:rsidR="00004665" w:rsidRPr="00EC1757">
        <w:t>.</w:t>
      </w:r>
      <w:r w:rsidR="0075660F" w:rsidRPr="00EC1757">
        <w:t xml:space="preserve"> (9) that is related to capital investment, and process profits (</w:t>
      </w:r>
      <w:proofErr w:type="spellStart"/>
      <w:r w:rsidR="0075660F" w:rsidRPr="00EC1757">
        <w:t>Cogollo</w:t>
      </w:r>
      <w:proofErr w:type="spellEnd"/>
      <w:r w:rsidR="00EC1757" w:rsidRPr="00EC1757">
        <w:t xml:space="preserve"> </w:t>
      </w:r>
      <w:r w:rsidR="0075660F" w:rsidRPr="00EC1757">
        <w:t>et al., 2018)</w:t>
      </w:r>
      <w:r w:rsidR="00F70E47">
        <w:t xml:space="preserve">, </w:t>
      </w:r>
      <w:proofErr w:type="spellStart"/>
      <w:r w:rsidR="00F70E47">
        <w:rPr>
          <w:rFonts w:eastAsia="SimSun"/>
        </w:rPr>
        <w:t>m</w:t>
      </w:r>
      <w:r w:rsidR="00F70E47" w:rsidRPr="00A91DEF">
        <w:rPr>
          <w:rFonts w:eastAsia="SimSun"/>
          <w:vertAlign w:val="subscript"/>
        </w:rPr>
        <w:t>i</w:t>
      </w:r>
      <w:r w:rsidR="00F70E47">
        <w:rPr>
          <w:rFonts w:eastAsia="SimSun"/>
        </w:rPr>
        <w:t>c</w:t>
      </w:r>
      <w:r w:rsidR="00F70E47" w:rsidRPr="00A91DEF">
        <w:rPr>
          <w:rFonts w:eastAsia="SimSun"/>
          <w:vertAlign w:val="subscript"/>
        </w:rPr>
        <w:t>i</w:t>
      </w:r>
      <w:r w:rsidR="00F70E47" w:rsidRPr="00A91DEF">
        <w:rPr>
          <w:rFonts w:eastAsia="SimSun"/>
          <w:vertAlign w:val="superscript"/>
        </w:rPr>
        <w:t>v</w:t>
      </w:r>
      <w:proofErr w:type="spellEnd"/>
      <w:r w:rsidR="00F70E47" w:rsidRPr="00E463FD">
        <w:rPr>
          <w:rFonts w:eastAsia="SimSun"/>
        </w:rPr>
        <w:t xml:space="preserve"> </w:t>
      </w:r>
      <w:r w:rsidR="00F70E47">
        <w:rPr>
          <w:rFonts w:eastAsia="SimSun"/>
        </w:rPr>
        <w:t xml:space="preserve">represents </w:t>
      </w:r>
      <w:r w:rsidR="004B4C93">
        <w:rPr>
          <w:rFonts w:eastAsia="SimSun"/>
        </w:rPr>
        <w:t xml:space="preserve">the </w:t>
      </w:r>
      <w:r w:rsidR="00F70E47">
        <w:rPr>
          <w:rFonts w:eastAsia="SimSun"/>
        </w:rPr>
        <w:t>p</w:t>
      </w:r>
      <w:r w:rsidR="00F70E47" w:rsidRPr="00400C89">
        <w:rPr>
          <w:rFonts w:eastAsia="SimSun"/>
        </w:rPr>
        <w:t xml:space="preserve">roduct </w:t>
      </w:r>
      <w:r w:rsidR="00F70E47" w:rsidRPr="002A0016">
        <w:rPr>
          <w:rFonts w:eastAsia="SimSun"/>
        </w:rPr>
        <w:t>of</w:t>
      </w:r>
      <w:r w:rsidR="00F70E47" w:rsidRPr="00400C89">
        <w:rPr>
          <w:rFonts w:eastAsia="SimSun"/>
        </w:rPr>
        <w:t xml:space="preserve"> product flow rate and selling price</w:t>
      </w:r>
      <w:r w:rsidR="0075660F" w:rsidRPr="00EC1757">
        <w:t>.</w:t>
      </w:r>
      <w:r w:rsidR="00004665" w:rsidRPr="00EC1757">
        <w:t xml:space="preserve"> </w:t>
      </w:r>
      <w:r w:rsidR="0075660F" w:rsidRPr="00EC1757">
        <w:t>To evaluate</w:t>
      </w:r>
      <w:r w:rsidR="0075660F" w:rsidRPr="0075660F">
        <w:t xml:space="preserve"> project incomes omitting time-value capital or interest, are considered two criteria: </w:t>
      </w:r>
      <w:r w:rsidR="0075660F">
        <w:t>T</w:t>
      </w:r>
      <w:r w:rsidR="0075660F" w:rsidRPr="0075660F">
        <w:t>he payback period Eq</w:t>
      </w:r>
      <w:r w:rsidR="00004665">
        <w:t>.</w:t>
      </w:r>
      <w:r w:rsidR="0075660F" w:rsidRPr="0075660F">
        <w:t xml:space="preserve"> (10)</w:t>
      </w:r>
      <w:r w:rsidR="0075660F">
        <w:t xml:space="preserve">, </w:t>
      </w:r>
      <w:r w:rsidR="004B4C93">
        <w:t>which</w:t>
      </w:r>
      <w:r w:rsidR="0075660F" w:rsidRPr="0075660F">
        <w:t xml:space="preserve"> means the capacity to re</w:t>
      </w:r>
      <w:r w:rsidR="0075660F">
        <w:t>cover the depreciable FCI, and R</w:t>
      </w:r>
      <w:r w:rsidR="0075660F" w:rsidRPr="0075660F">
        <w:t>eturn of investment Eq</w:t>
      </w:r>
      <w:r w:rsidR="00004665">
        <w:t>.</w:t>
      </w:r>
      <w:r w:rsidR="0075660F" w:rsidRPr="0075660F">
        <w:t xml:space="preserve"> (11) is comparabl</w:t>
      </w:r>
      <w:r w:rsidR="0075660F">
        <w:t>e to banks interest rates</w:t>
      </w:r>
      <w:r w:rsidR="0075660F" w:rsidRPr="0075660F">
        <w:t>. The costs of the equipment, raw materials, and products were consulted in the same source (www.alibaba.com), and the costs of utilities such as gas, steam, water, and electricity were calculated under real Colombian conditions.</w:t>
      </w:r>
    </w:p>
    <w:tbl>
      <w:tblPr>
        <w:tblStyle w:val="Tabladecuadrcula2"/>
        <w:tblW w:w="492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88"/>
        <w:gridCol w:w="1558"/>
      </w:tblGrid>
      <w:tr w:rsidR="009B6038" w:rsidRPr="009B6038" w14:paraId="3607FE7D" w14:textId="77777777" w:rsidTr="009B6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Borders>
              <w:top w:val="none" w:sz="0" w:space="0" w:color="auto"/>
              <w:bottom w:val="none" w:sz="0" w:space="0" w:color="auto"/>
              <w:right w:val="none" w:sz="0" w:space="0" w:color="auto"/>
            </w:tcBorders>
            <w:shd w:val="clear" w:color="auto" w:fill="auto"/>
          </w:tcPr>
          <w:p w14:paraId="1E7F760D" w14:textId="52616C5B" w:rsidR="009B6038" w:rsidRPr="009B6038" w:rsidRDefault="009B6038" w:rsidP="0009430D">
            <w:pPr>
              <w:pStyle w:val="CETEquation"/>
            </w:pPr>
            <m:oMathPara>
              <m:oMathParaPr>
                <m:jc m:val="left"/>
              </m:oMathParaPr>
              <m:oMath>
                <m:r>
                  <m:rPr>
                    <m:sty m:val="bi"/>
                  </m:rPr>
                  <w:rPr>
                    <w:rFonts w:ascii="Cambria Math" w:hAnsi="Cambria Math" w:cs="Arial"/>
                    <w:szCs w:val="18"/>
                    <w:lang w:val="es-CO"/>
                  </w:rPr>
                  <m:t>PAT</m:t>
                </m:r>
                <m:r>
                  <m:rPr>
                    <m:sty m:val="bi"/>
                  </m:rPr>
                  <w:rPr>
                    <w:rFonts w:ascii="Cambria Math" w:hAnsi="Cambria Math" w:cs="Arial"/>
                    <w:szCs w:val="18"/>
                  </w:rPr>
                  <m:t>=</m:t>
                </m:r>
                <m:r>
                  <m:rPr>
                    <m:sty m:val="bi"/>
                  </m:rPr>
                  <w:rPr>
                    <w:rFonts w:ascii="Cambria Math" w:hAnsi="Cambria Math" w:cs="Arial"/>
                    <w:szCs w:val="18"/>
                    <w:lang w:val="es-CO"/>
                  </w:rPr>
                  <m:t>DGP</m:t>
                </m:r>
                <m:d>
                  <m:dPr>
                    <m:ctrlPr>
                      <w:rPr>
                        <w:rFonts w:ascii="Cambria Math" w:hAnsi="Cambria Math" w:cs="Arial"/>
                        <w:i/>
                        <w:szCs w:val="18"/>
                        <w:lang w:val="es-CO"/>
                      </w:rPr>
                    </m:ctrlPr>
                  </m:dPr>
                  <m:e>
                    <m:r>
                      <m:rPr>
                        <m:sty m:val="bi"/>
                      </m:rPr>
                      <w:rPr>
                        <w:rFonts w:ascii="Cambria Math" w:hAnsi="Cambria Math" w:cs="Arial"/>
                        <w:szCs w:val="18"/>
                      </w:rPr>
                      <m:t>1-</m:t>
                    </m:r>
                    <m:r>
                      <m:rPr>
                        <m:sty m:val="bi"/>
                      </m:rPr>
                      <w:rPr>
                        <w:rFonts w:ascii="Cambria Math" w:hAnsi="Cambria Math" w:cs="Arial"/>
                        <w:szCs w:val="18"/>
                        <w:lang w:val="es-CO"/>
                      </w:rPr>
                      <m:t>itr</m:t>
                    </m:r>
                  </m:e>
                </m:d>
              </m:oMath>
            </m:oMathPara>
          </w:p>
        </w:tc>
        <w:tc>
          <w:tcPr>
            <w:tcW w:w="901" w:type="pct"/>
            <w:tcBorders>
              <w:top w:val="none" w:sz="0" w:space="0" w:color="auto"/>
              <w:left w:val="none" w:sz="0" w:space="0" w:color="auto"/>
              <w:bottom w:val="none" w:sz="0" w:space="0" w:color="auto"/>
            </w:tcBorders>
            <w:shd w:val="clear" w:color="auto" w:fill="auto"/>
          </w:tcPr>
          <w:p w14:paraId="1AE09D87" w14:textId="75013211" w:rsidR="009B6038" w:rsidRPr="00D311A0" w:rsidRDefault="009B6038" w:rsidP="0009430D">
            <w:pPr>
              <w:pStyle w:val="CETEquation"/>
              <w:cnfStyle w:val="100000000000" w:firstRow="1" w:lastRow="0" w:firstColumn="0" w:lastColumn="0" w:oddVBand="0" w:evenVBand="0" w:oddHBand="0" w:evenHBand="0" w:firstRowFirstColumn="0" w:firstRowLastColumn="0" w:lastRowFirstColumn="0" w:lastRowLastColumn="0"/>
              <w:rPr>
                <w:b w:val="0"/>
                <w:bCs w:val="0"/>
              </w:rPr>
            </w:pPr>
            <w:r w:rsidRPr="00D311A0">
              <w:rPr>
                <w:b w:val="0"/>
                <w:bCs w:val="0"/>
              </w:rPr>
              <w:t>(8)</w:t>
            </w:r>
          </w:p>
        </w:tc>
      </w:tr>
      <w:tr w:rsidR="009B6038" w:rsidRPr="009B6038" w14:paraId="0F0D1C35" w14:textId="77777777" w:rsidTr="009B6038">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6BBACEF5" w14:textId="0ABB9D26" w:rsidR="009B6038" w:rsidRPr="009B6038" w:rsidRDefault="009B6038" w:rsidP="0009430D">
            <w:pPr>
              <w:pStyle w:val="CETEquation"/>
            </w:pPr>
            <m:oMathPara>
              <m:oMathParaPr>
                <m:jc m:val="left"/>
              </m:oMathParaPr>
              <m:oMath>
                <m:r>
                  <m:rPr>
                    <m:sty m:val="bi"/>
                  </m:rPr>
                  <w:rPr>
                    <w:rFonts w:ascii="Cambria Math" w:hAnsi="Cambria Math" w:cs="Arial"/>
                    <w:szCs w:val="18"/>
                    <w:lang w:val="es-CO"/>
                  </w:rPr>
                  <m:t>CCF</m:t>
                </m:r>
                <m:r>
                  <m:rPr>
                    <m:sty m:val="bi"/>
                  </m:rPr>
                  <w:rPr>
                    <w:rFonts w:ascii="Cambria Math" w:hAnsi="Cambria Math" w:cs="Arial"/>
                    <w:szCs w:val="18"/>
                  </w:rPr>
                  <m:t>=</m:t>
                </m:r>
                <m:f>
                  <m:fPr>
                    <m:ctrlPr>
                      <w:rPr>
                        <w:rFonts w:ascii="Cambria Math" w:hAnsi="Cambria Math" w:cs="Arial"/>
                        <w:i/>
                        <w:szCs w:val="18"/>
                        <w:lang w:val="es-CO"/>
                      </w:rPr>
                    </m:ctrlPr>
                  </m:fPr>
                  <m:num>
                    <m:nary>
                      <m:naryPr>
                        <m:chr m:val="∑"/>
                        <m:limLoc m:val="undOvr"/>
                        <m:supHide m:val="1"/>
                        <m:ctrlPr>
                          <w:rPr>
                            <w:rFonts w:ascii="Cambria Math" w:hAnsi="Cambria Math" w:cs="Arial"/>
                            <w:i/>
                            <w:szCs w:val="18"/>
                            <w:lang w:val="es-CO"/>
                          </w:rPr>
                        </m:ctrlPr>
                      </m:naryPr>
                      <m:sub>
                        <m:r>
                          <m:rPr>
                            <m:sty m:val="bi"/>
                          </m:rPr>
                          <w:rPr>
                            <w:rFonts w:ascii="Cambria Math" w:hAnsi="Cambria Math" w:cs="Arial"/>
                            <w:szCs w:val="18"/>
                            <w:lang w:val="es-CO"/>
                          </w:rPr>
                          <m:t>i</m:t>
                        </m:r>
                      </m:sub>
                      <m:sup/>
                      <m:e>
                        <m:sSub>
                          <m:sSubPr>
                            <m:ctrlPr>
                              <w:rPr>
                                <w:rFonts w:ascii="Cambria Math" w:hAnsi="Cambria Math" w:cs="Arial"/>
                                <w:i/>
                                <w:szCs w:val="18"/>
                                <w:lang w:val="es-CO"/>
                              </w:rPr>
                            </m:ctrlPr>
                          </m:sSubPr>
                          <m:e>
                            <m:r>
                              <m:rPr>
                                <m:sty m:val="bi"/>
                              </m:rPr>
                              <w:rPr>
                                <w:rFonts w:ascii="Cambria Math" w:hAnsi="Cambria Math" w:cs="Arial"/>
                                <w:szCs w:val="18"/>
                                <w:lang w:val="es-CO"/>
                              </w:rPr>
                              <m:t>m</m:t>
                            </m:r>
                          </m:e>
                          <m:sub>
                            <m:r>
                              <m:rPr>
                                <m:sty m:val="bi"/>
                              </m:rPr>
                              <w:rPr>
                                <w:rFonts w:ascii="Cambria Math" w:hAnsi="Cambria Math" w:cs="Arial"/>
                                <w:szCs w:val="18"/>
                                <w:lang w:val="es-CO"/>
                              </w:rPr>
                              <m:t>i</m:t>
                            </m:r>
                          </m:sub>
                        </m:sSub>
                        <m:sSubSup>
                          <m:sSubSupPr>
                            <m:ctrlPr>
                              <w:rPr>
                                <w:rFonts w:ascii="Cambria Math" w:hAnsi="Cambria Math" w:cs="Arial"/>
                                <w:i/>
                                <w:szCs w:val="18"/>
                                <w:lang w:val="es-CO"/>
                              </w:rPr>
                            </m:ctrlPr>
                          </m:sSubSupPr>
                          <m:e>
                            <m:r>
                              <m:rPr>
                                <m:sty m:val="bi"/>
                              </m:rPr>
                              <w:rPr>
                                <w:rFonts w:ascii="Cambria Math" w:hAnsi="Cambria Math" w:cs="Arial"/>
                                <w:szCs w:val="18"/>
                                <w:lang w:val="es-CO"/>
                              </w:rPr>
                              <m:t>C</m:t>
                            </m:r>
                          </m:e>
                          <m:sub>
                            <m:r>
                              <m:rPr>
                                <m:sty m:val="bi"/>
                              </m:rPr>
                              <w:rPr>
                                <w:rFonts w:ascii="Cambria Math" w:hAnsi="Cambria Math" w:cs="Arial"/>
                                <w:szCs w:val="18"/>
                                <w:lang w:val="es-CO"/>
                              </w:rPr>
                              <m:t>i</m:t>
                            </m:r>
                          </m:sub>
                          <m:sup>
                            <m:r>
                              <m:rPr>
                                <m:sty m:val="bi"/>
                              </m:rPr>
                              <w:rPr>
                                <w:rFonts w:ascii="Cambria Math" w:hAnsi="Cambria Math" w:cs="Arial"/>
                                <w:szCs w:val="18"/>
                                <w:lang w:val="es-CO"/>
                              </w:rPr>
                              <m:t>v</m:t>
                            </m:r>
                          </m:sup>
                        </m:sSubSup>
                      </m:e>
                    </m:nary>
                    <m:r>
                      <m:rPr>
                        <m:sty m:val="bi"/>
                      </m:rPr>
                      <w:rPr>
                        <w:rFonts w:ascii="Cambria Math" w:hAnsi="Cambria Math" w:cs="Arial"/>
                        <w:szCs w:val="18"/>
                      </w:rPr>
                      <m:t>-</m:t>
                    </m:r>
                    <m:r>
                      <m:rPr>
                        <m:sty m:val="bi"/>
                      </m:rPr>
                      <w:rPr>
                        <w:rFonts w:ascii="Cambria Math" w:hAnsi="Cambria Math" w:cs="Arial"/>
                        <w:szCs w:val="18"/>
                        <w:lang w:val="es-CO"/>
                      </w:rPr>
                      <m:t>AOC</m:t>
                    </m:r>
                  </m:num>
                  <m:den>
                    <m:r>
                      <m:rPr>
                        <m:sty m:val="bi"/>
                      </m:rPr>
                      <w:rPr>
                        <w:rFonts w:ascii="Cambria Math" w:hAnsi="Cambria Math" w:cs="Arial"/>
                        <w:szCs w:val="18"/>
                        <w:lang w:val="es-CO"/>
                      </w:rPr>
                      <m:t>TCI</m:t>
                    </m:r>
                  </m:den>
                </m:f>
                <m:r>
                  <m:rPr>
                    <m:sty m:val="bi"/>
                  </m:rPr>
                  <w:rPr>
                    <w:rFonts w:ascii="Cambria Math" w:hAnsi="Cambria Math" w:cs="Arial"/>
                    <w:szCs w:val="18"/>
                  </w:rPr>
                  <m:t xml:space="preserve">    </m:t>
                </m:r>
              </m:oMath>
            </m:oMathPara>
          </w:p>
        </w:tc>
        <w:tc>
          <w:tcPr>
            <w:tcW w:w="901" w:type="pct"/>
            <w:shd w:val="clear" w:color="auto" w:fill="auto"/>
          </w:tcPr>
          <w:p w14:paraId="78A28D21" w14:textId="4D12D105" w:rsidR="009B6038" w:rsidRPr="009B6038" w:rsidRDefault="009B6038" w:rsidP="0009430D">
            <w:pPr>
              <w:pStyle w:val="CETEquation"/>
              <w:cnfStyle w:val="000000100000" w:firstRow="0" w:lastRow="0" w:firstColumn="0" w:lastColumn="0" w:oddVBand="0" w:evenVBand="0" w:oddHBand="1" w:evenHBand="0" w:firstRowFirstColumn="0" w:firstRowLastColumn="0" w:lastRowFirstColumn="0" w:lastRowLastColumn="0"/>
            </w:pPr>
            <w:r w:rsidRPr="009B6038">
              <w:t>(9)</w:t>
            </w:r>
          </w:p>
        </w:tc>
      </w:tr>
      <w:tr w:rsidR="009B6038" w:rsidRPr="009B6038" w14:paraId="2B381CE5" w14:textId="77777777" w:rsidTr="009B6038">
        <w:trPr>
          <w:trHeight w:val="581"/>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04FFE26B" w14:textId="41BDD86D" w:rsidR="009B6038" w:rsidRPr="009B6038" w:rsidRDefault="009B6038" w:rsidP="0009430D">
            <w:pPr>
              <w:pStyle w:val="CETEquation"/>
            </w:pPr>
            <m:oMathPara>
              <m:oMathParaPr>
                <m:jc m:val="left"/>
              </m:oMathParaPr>
              <m:oMath>
                <m:r>
                  <m:rPr>
                    <m:sty m:val="bi"/>
                  </m:rPr>
                  <w:rPr>
                    <w:rFonts w:ascii="Cambria Math" w:hAnsi="Cambria Math" w:cs="Arial"/>
                    <w:szCs w:val="18"/>
                    <w:lang w:val="es-CO"/>
                  </w:rPr>
                  <m:t>PBP</m:t>
                </m:r>
                <m:r>
                  <m:rPr>
                    <m:sty m:val="bi"/>
                  </m:rPr>
                  <w:rPr>
                    <w:rFonts w:ascii="Cambria Math" w:hAnsi="Cambria Math" w:cs="Arial"/>
                    <w:szCs w:val="18"/>
                  </w:rPr>
                  <m:t>=</m:t>
                </m:r>
                <m:f>
                  <m:fPr>
                    <m:ctrlPr>
                      <w:rPr>
                        <w:rFonts w:ascii="Cambria Math" w:hAnsi="Cambria Math" w:cs="Arial"/>
                        <w:i/>
                        <w:szCs w:val="18"/>
                        <w:lang w:val="es-CO"/>
                      </w:rPr>
                    </m:ctrlPr>
                  </m:fPr>
                  <m:num>
                    <m:r>
                      <m:rPr>
                        <m:sty m:val="bi"/>
                      </m:rPr>
                      <w:rPr>
                        <w:rFonts w:ascii="Cambria Math" w:hAnsi="Cambria Math" w:cs="Arial"/>
                        <w:szCs w:val="18"/>
                        <w:lang w:val="es-CO"/>
                      </w:rPr>
                      <m:t>FCI</m:t>
                    </m:r>
                  </m:num>
                  <m:den>
                    <m:r>
                      <m:rPr>
                        <m:sty m:val="bi"/>
                      </m:rPr>
                      <w:rPr>
                        <w:rFonts w:ascii="Cambria Math" w:hAnsi="Cambria Math" w:cs="Arial"/>
                        <w:szCs w:val="18"/>
                        <w:lang w:val="es-CO"/>
                      </w:rPr>
                      <m:t>PAT</m:t>
                    </m:r>
                  </m:den>
                </m:f>
              </m:oMath>
            </m:oMathPara>
          </w:p>
        </w:tc>
        <w:tc>
          <w:tcPr>
            <w:tcW w:w="901" w:type="pct"/>
            <w:shd w:val="clear" w:color="auto" w:fill="auto"/>
          </w:tcPr>
          <w:p w14:paraId="679DC915" w14:textId="11478C67" w:rsidR="009B6038" w:rsidRPr="009B6038" w:rsidRDefault="009B6038" w:rsidP="0009430D">
            <w:pPr>
              <w:pStyle w:val="CETEquation"/>
              <w:cnfStyle w:val="000000000000" w:firstRow="0" w:lastRow="0" w:firstColumn="0" w:lastColumn="0" w:oddVBand="0" w:evenVBand="0" w:oddHBand="0" w:evenHBand="0" w:firstRowFirstColumn="0" w:firstRowLastColumn="0" w:lastRowFirstColumn="0" w:lastRowLastColumn="0"/>
            </w:pPr>
            <w:r w:rsidRPr="009B6038">
              <w:t>(10)</w:t>
            </w:r>
          </w:p>
        </w:tc>
      </w:tr>
      <w:tr w:rsidR="009B6038" w:rsidRPr="000C7944" w14:paraId="73D9340B" w14:textId="77777777" w:rsidTr="009B6038">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22B9571C" w14:textId="7A4D9775" w:rsidR="009B6038" w:rsidRPr="009B6038" w:rsidRDefault="009B6038" w:rsidP="0009430D">
            <w:pPr>
              <w:pStyle w:val="CETEquation"/>
            </w:pPr>
            <m:oMathPara>
              <m:oMathParaPr>
                <m:jc m:val="left"/>
              </m:oMathParaPr>
              <m:oMath>
                <m:r>
                  <m:rPr>
                    <m:sty m:val="bi"/>
                  </m:rPr>
                  <w:rPr>
                    <w:rFonts w:ascii="Cambria Math" w:hAnsi="Cambria Math" w:cs="Arial"/>
                    <w:szCs w:val="18"/>
                  </w:rPr>
                  <m:t>%</m:t>
                </m:r>
                <m:r>
                  <m:rPr>
                    <m:sty m:val="bi"/>
                  </m:rPr>
                  <w:rPr>
                    <w:rFonts w:ascii="Cambria Math" w:hAnsi="Cambria Math" w:cs="Arial"/>
                    <w:szCs w:val="18"/>
                    <w:lang w:val="es-CO"/>
                  </w:rPr>
                  <m:t>ROI</m:t>
                </m:r>
                <m:r>
                  <m:rPr>
                    <m:sty m:val="bi"/>
                  </m:rPr>
                  <w:rPr>
                    <w:rFonts w:ascii="Cambria Math" w:hAnsi="Cambria Math" w:cs="Arial"/>
                    <w:szCs w:val="18"/>
                  </w:rPr>
                  <m:t>=</m:t>
                </m:r>
                <m:f>
                  <m:fPr>
                    <m:ctrlPr>
                      <w:rPr>
                        <w:rFonts w:ascii="Cambria Math" w:hAnsi="Cambria Math" w:cs="Arial"/>
                        <w:i/>
                        <w:szCs w:val="18"/>
                        <w:lang w:val="es-CO"/>
                      </w:rPr>
                    </m:ctrlPr>
                  </m:fPr>
                  <m:num>
                    <m:r>
                      <m:rPr>
                        <m:sty m:val="bi"/>
                      </m:rPr>
                      <w:rPr>
                        <w:rFonts w:ascii="Cambria Math" w:hAnsi="Cambria Math" w:cs="Arial"/>
                        <w:szCs w:val="18"/>
                        <w:lang w:val="es-CO"/>
                      </w:rPr>
                      <m:t>PAT</m:t>
                    </m:r>
                  </m:num>
                  <m:den>
                    <m:r>
                      <m:rPr>
                        <m:sty m:val="bi"/>
                      </m:rPr>
                      <w:rPr>
                        <w:rFonts w:ascii="Cambria Math" w:hAnsi="Cambria Math" w:cs="Arial"/>
                        <w:szCs w:val="18"/>
                        <w:lang w:val="es-CO"/>
                      </w:rPr>
                      <m:t>TCI</m:t>
                    </m:r>
                  </m:den>
                </m:f>
                <m:r>
                  <m:rPr>
                    <m:sty m:val="bi"/>
                  </m:rPr>
                  <w:rPr>
                    <w:rFonts w:ascii="Cambria Math" w:hAnsi="Cambria Math" w:cs="Arial"/>
                    <w:szCs w:val="18"/>
                    <w:lang w:val="es-CO"/>
                  </w:rPr>
                  <m:t>x</m:t>
                </m:r>
                <m:r>
                  <m:rPr>
                    <m:sty m:val="bi"/>
                  </m:rPr>
                  <w:rPr>
                    <w:rFonts w:ascii="Cambria Math" w:hAnsi="Cambria Math" w:cs="Arial"/>
                    <w:szCs w:val="18"/>
                  </w:rPr>
                  <m:t>100%</m:t>
                </m:r>
              </m:oMath>
            </m:oMathPara>
          </w:p>
        </w:tc>
        <w:tc>
          <w:tcPr>
            <w:tcW w:w="901" w:type="pct"/>
            <w:shd w:val="clear" w:color="auto" w:fill="auto"/>
          </w:tcPr>
          <w:p w14:paraId="3B4F7F73" w14:textId="74B546AC" w:rsidR="009B6038" w:rsidRPr="000C7944" w:rsidRDefault="009B6038" w:rsidP="0009430D">
            <w:pPr>
              <w:pStyle w:val="CETEquation"/>
              <w:cnfStyle w:val="000000100000" w:firstRow="0" w:lastRow="0" w:firstColumn="0" w:lastColumn="0" w:oddVBand="0" w:evenVBand="0" w:oddHBand="1" w:evenHBand="0" w:firstRowFirstColumn="0" w:firstRowLastColumn="0" w:lastRowFirstColumn="0" w:lastRowLastColumn="0"/>
            </w:pPr>
            <w:r w:rsidRPr="009B6038">
              <w:t>(11)</w:t>
            </w:r>
          </w:p>
        </w:tc>
      </w:tr>
    </w:tbl>
    <w:p w14:paraId="6B8756D9" w14:textId="77777777" w:rsidR="00F771D3" w:rsidRDefault="00F771D3" w:rsidP="00F771D3">
      <w:pPr>
        <w:pStyle w:val="CETHeading1"/>
        <w:rPr>
          <w:lang w:val="en-GB"/>
        </w:rPr>
      </w:pPr>
      <w:r>
        <w:rPr>
          <w:lang w:val="en-GB"/>
        </w:rPr>
        <w:t xml:space="preserve">Results and discussion </w:t>
      </w:r>
    </w:p>
    <w:p w14:paraId="26261C3F" w14:textId="584C3F5E" w:rsidR="00292EDD" w:rsidRDefault="005A5A90" w:rsidP="00F771D3">
      <w:pPr>
        <w:pStyle w:val="CETBodytext"/>
      </w:pPr>
      <w:r w:rsidRPr="00EC1757">
        <w:t>Economic evaluation for avocado oil production process was developed considering US Dollar and 15 years plant lives as a reference, raw materials expenses were consulted trough vendors (www.alibaba.com); the plant was designed to use ripe and rejected avocado for human consumption, fruit cost was established at 36 $/t (</w:t>
      </w:r>
      <w:proofErr w:type="spellStart"/>
      <w:r w:rsidRPr="00EC1757">
        <w:t>Minagricultura</w:t>
      </w:r>
      <w:proofErr w:type="spellEnd"/>
      <w:r w:rsidRPr="00EC1757">
        <w:t>, 2020), sodium hypochlorite at 164,36 $/t and hexane at 750 $/t.  Bearing in mind that solvent extractions are techniques used in the cosmetic industry (</w:t>
      </w:r>
      <w:proofErr w:type="spellStart"/>
      <w:r w:rsidRPr="00EC1757">
        <w:t>Buelvas</w:t>
      </w:r>
      <w:proofErr w:type="spellEnd"/>
      <w:r w:rsidR="00EC1757" w:rsidRPr="00EC1757">
        <w:t xml:space="preserve"> </w:t>
      </w:r>
      <w:r w:rsidRPr="00EC1757">
        <w:t xml:space="preserve">et al., 2012), the sale price for avocado crude oil was defined at 20 $/t. To carry out the assessment, it was necessary to stipulate </w:t>
      </w:r>
      <w:r w:rsidR="004B4C93">
        <w:t xml:space="preserve">the </w:t>
      </w:r>
      <w:r w:rsidRPr="00EC1757">
        <w:t>characteristics of the process and techno-economic assumptions described in table 1, Income taxes rate and interest rate (THE WORLD BANK, 2020) were determined from the literature.</w:t>
      </w:r>
      <w:r w:rsidR="00156978" w:rsidRPr="00EC1757">
        <w:t xml:space="preserve"> Since the plant is new, the type of process will be "Plant on non-built land", it is important to make this consideration since it affects the value of the land, the type of soil we will take as soft clay, and a contingency percentage of 30</w:t>
      </w:r>
      <w:r w:rsidR="0083633A" w:rsidRPr="00EC1757">
        <w:t xml:space="preserve"> </w:t>
      </w:r>
      <w:r w:rsidR="00156978" w:rsidRPr="00EC1757">
        <w:t>%, the cost per hour of the operator will be 30 dollars per hour and that of the supervisor 45 dollars per hour</w:t>
      </w:r>
      <w:r w:rsidR="00156978" w:rsidRPr="00156978">
        <w:t>, both with 13 salaries per year, including the legal premium established in Colombia.</w:t>
      </w:r>
    </w:p>
    <w:p w14:paraId="32E23107" w14:textId="22E352D8" w:rsidR="00E661D0" w:rsidRPr="00B57B36" w:rsidRDefault="00E661D0" w:rsidP="00E661D0">
      <w:pPr>
        <w:pStyle w:val="CETTabletitle"/>
      </w:pPr>
      <w:r w:rsidRPr="00B57B36">
        <w:t xml:space="preserve">Table 1: </w:t>
      </w:r>
      <w:r w:rsidRPr="00E661D0">
        <w:t xml:space="preserve">Techno-economic assumptions for </w:t>
      </w:r>
      <w:r w:rsidR="00E72FDA">
        <w:t>creole avocado oil extraction plant</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97"/>
        <w:gridCol w:w="4290"/>
      </w:tblGrid>
      <w:tr w:rsidR="008C671F" w:rsidRPr="00B57B36" w14:paraId="33D2C9E4" w14:textId="074675E8" w:rsidTr="00851869">
        <w:trPr>
          <w:trHeight w:val="133"/>
        </w:trPr>
        <w:tc>
          <w:tcPr>
            <w:tcW w:w="4497" w:type="dxa"/>
            <w:shd w:val="clear" w:color="auto" w:fill="FFFFFF"/>
          </w:tcPr>
          <w:p w14:paraId="5CB3BCA0" w14:textId="58A7BC92" w:rsidR="008C671F" w:rsidRPr="00B57B36" w:rsidRDefault="009E6F04" w:rsidP="00E26032">
            <w:pPr>
              <w:pStyle w:val="CETBodytext"/>
              <w:rPr>
                <w:lang w:val="en-GB"/>
              </w:rPr>
            </w:pPr>
            <w:r>
              <w:rPr>
                <w:lang w:val="en-GB"/>
              </w:rPr>
              <w:t>Processing capacity (t/</w:t>
            </w:r>
            <w:proofErr w:type="gramStart"/>
            <w:r w:rsidR="0083633A">
              <w:rPr>
                <w:lang w:val="en-GB"/>
              </w:rPr>
              <w:t>y)</w:t>
            </w:r>
            <w:r>
              <w:rPr>
                <w:lang w:val="en-GB"/>
              </w:rPr>
              <w:t xml:space="preserve">   </w:t>
            </w:r>
            <w:proofErr w:type="gramEnd"/>
            <w:r>
              <w:rPr>
                <w:lang w:val="en-GB"/>
              </w:rPr>
              <w:t xml:space="preserve">                                 </w:t>
            </w:r>
          </w:p>
        </w:tc>
        <w:tc>
          <w:tcPr>
            <w:tcW w:w="4290" w:type="dxa"/>
            <w:shd w:val="clear" w:color="auto" w:fill="FFFFFF"/>
          </w:tcPr>
          <w:p w14:paraId="3525F323" w14:textId="5C615253" w:rsidR="008C671F" w:rsidRPr="00E26032" w:rsidRDefault="00472C0E" w:rsidP="00E26032">
            <w:pPr>
              <w:pStyle w:val="CETBodytext"/>
              <w:rPr>
                <w:lang w:val="en-GB"/>
              </w:rPr>
            </w:pPr>
            <w:r w:rsidRPr="00472C0E">
              <w:rPr>
                <w:lang w:val="en-GB"/>
              </w:rPr>
              <w:t>10</w:t>
            </w:r>
            <w:r w:rsidR="00392F91">
              <w:rPr>
                <w:lang w:val="en-GB"/>
              </w:rPr>
              <w:t>,</w:t>
            </w:r>
            <w:r w:rsidRPr="00472C0E">
              <w:rPr>
                <w:lang w:val="en-GB"/>
              </w:rPr>
              <w:t>500</w:t>
            </w:r>
          </w:p>
        </w:tc>
      </w:tr>
      <w:tr w:rsidR="008C671F" w:rsidRPr="00B57B36" w14:paraId="4633D179" w14:textId="0BED65DA" w:rsidTr="00851869">
        <w:trPr>
          <w:trHeight w:val="182"/>
        </w:trPr>
        <w:tc>
          <w:tcPr>
            <w:tcW w:w="4497" w:type="dxa"/>
            <w:shd w:val="clear" w:color="auto" w:fill="FFFFFF"/>
          </w:tcPr>
          <w:p w14:paraId="3897F31D" w14:textId="665EF407" w:rsidR="008C671F" w:rsidRPr="00B57B36" w:rsidRDefault="009E6F04" w:rsidP="009E6F04">
            <w:pPr>
              <w:pStyle w:val="CETBodytext"/>
              <w:ind w:right="-1"/>
              <w:rPr>
                <w:rFonts w:cs="Arial"/>
                <w:szCs w:val="18"/>
                <w:lang w:val="en-GB"/>
              </w:rPr>
            </w:pPr>
            <w:r w:rsidRPr="009E6F04">
              <w:rPr>
                <w:rFonts w:cs="Arial"/>
                <w:szCs w:val="18"/>
                <w:lang w:val="en-GB"/>
              </w:rPr>
              <w:t>Main product flow (t/y)</w:t>
            </w:r>
          </w:p>
        </w:tc>
        <w:tc>
          <w:tcPr>
            <w:tcW w:w="4290" w:type="dxa"/>
            <w:shd w:val="clear" w:color="auto" w:fill="FFFFFF"/>
          </w:tcPr>
          <w:p w14:paraId="2D691165" w14:textId="15D9B6D5" w:rsidR="008C671F" w:rsidRPr="00E26032" w:rsidRDefault="004A4124" w:rsidP="00E26032">
            <w:pPr>
              <w:pStyle w:val="CETBodytext"/>
              <w:ind w:right="-1"/>
              <w:rPr>
                <w:rFonts w:cs="Arial"/>
                <w:szCs w:val="18"/>
                <w:lang w:val="en-GB"/>
              </w:rPr>
            </w:pPr>
            <w:r>
              <w:rPr>
                <w:rFonts w:cs="Arial"/>
                <w:szCs w:val="18"/>
                <w:lang w:val="en-GB"/>
              </w:rPr>
              <w:t>1,000.</w:t>
            </w:r>
            <w:r w:rsidR="009E6F04" w:rsidRPr="009E6F04">
              <w:rPr>
                <w:rFonts w:cs="Arial"/>
                <w:szCs w:val="18"/>
                <w:lang w:val="en-GB"/>
              </w:rPr>
              <w:t>67</w:t>
            </w:r>
          </w:p>
        </w:tc>
      </w:tr>
      <w:tr w:rsidR="009E6F04" w:rsidRPr="00B57B36" w14:paraId="653A0A70" w14:textId="77777777" w:rsidTr="00851869">
        <w:trPr>
          <w:trHeight w:val="100"/>
        </w:trPr>
        <w:tc>
          <w:tcPr>
            <w:tcW w:w="4497" w:type="dxa"/>
            <w:shd w:val="clear" w:color="auto" w:fill="FFFFFF"/>
          </w:tcPr>
          <w:p w14:paraId="189E4E1E" w14:textId="751C1316" w:rsidR="009E6F04" w:rsidRPr="00E26032" w:rsidRDefault="009E6F04" w:rsidP="00E26032">
            <w:pPr>
              <w:pStyle w:val="CETBodytext"/>
              <w:ind w:right="-1"/>
              <w:rPr>
                <w:rFonts w:cs="Arial"/>
                <w:szCs w:val="18"/>
                <w:lang w:val="en-GB"/>
              </w:rPr>
            </w:pPr>
            <w:r w:rsidRPr="009E6F04">
              <w:rPr>
                <w:rFonts w:cs="Arial"/>
                <w:szCs w:val="18"/>
                <w:lang w:val="en-GB"/>
              </w:rPr>
              <w:t>Useful life of the plant (years)</w:t>
            </w:r>
          </w:p>
        </w:tc>
        <w:tc>
          <w:tcPr>
            <w:tcW w:w="4290" w:type="dxa"/>
            <w:shd w:val="clear" w:color="auto" w:fill="FFFFFF"/>
          </w:tcPr>
          <w:p w14:paraId="0C2792DE" w14:textId="436F9203" w:rsidR="009E6F04" w:rsidRPr="00E26032" w:rsidRDefault="009E6F04" w:rsidP="00E26032">
            <w:pPr>
              <w:pStyle w:val="CETBodytext"/>
              <w:ind w:right="-1"/>
              <w:rPr>
                <w:rFonts w:cs="Arial"/>
                <w:szCs w:val="18"/>
                <w:lang w:val="en-GB"/>
              </w:rPr>
            </w:pPr>
            <w:r w:rsidRPr="009E6F04">
              <w:rPr>
                <w:rFonts w:cs="Arial"/>
                <w:szCs w:val="18"/>
                <w:lang w:val="en-GB"/>
              </w:rPr>
              <w:t>15</w:t>
            </w:r>
          </w:p>
        </w:tc>
      </w:tr>
      <w:tr w:rsidR="009E6F04" w:rsidRPr="00B57B36" w14:paraId="23B66F3F" w14:textId="77777777" w:rsidTr="00851869">
        <w:trPr>
          <w:trHeight w:val="145"/>
        </w:trPr>
        <w:tc>
          <w:tcPr>
            <w:tcW w:w="4497" w:type="dxa"/>
            <w:shd w:val="clear" w:color="auto" w:fill="FFFFFF"/>
          </w:tcPr>
          <w:p w14:paraId="506F0CBB" w14:textId="2BF8AE4A" w:rsidR="009E6F04" w:rsidRPr="00E26032" w:rsidRDefault="009E6F04" w:rsidP="00E26032">
            <w:pPr>
              <w:pStyle w:val="CETBodytext"/>
              <w:ind w:right="-1"/>
              <w:rPr>
                <w:rFonts w:cs="Arial"/>
                <w:szCs w:val="18"/>
                <w:lang w:val="en-GB"/>
              </w:rPr>
            </w:pPr>
            <w:r w:rsidRPr="009E6F04">
              <w:rPr>
                <w:rFonts w:cs="Arial"/>
                <w:szCs w:val="18"/>
                <w:lang w:val="en-GB"/>
              </w:rPr>
              <w:t>Salvage value</w:t>
            </w:r>
          </w:p>
        </w:tc>
        <w:tc>
          <w:tcPr>
            <w:tcW w:w="4290" w:type="dxa"/>
            <w:shd w:val="clear" w:color="auto" w:fill="FFFFFF"/>
          </w:tcPr>
          <w:p w14:paraId="4F484CC8" w14:textId="72E297F9" w:rsidR="009E6F04" w:rsidRPr="00E26032" w:rsidRDefault="009E6F04" w:rsidP="00E26032">
            <w:pPr>
              <w:pStyle w:val="CETBodytext"/>
              <w:ind w:right="-1"/>
              <w:rPr>
                <w:rFonts w:cs="Arial"/>
                <w:szCs w:val="18"/>
                <w:lang w:val="en-GB"/>
              </w:rPr>
            </w:pPr>
            <w:r w:rsidRPr="009E6F04">
              <w:rPr>
                <w:rFonts w:cs="Arial"/>
                <w:szCs w:val="18"/>
                <w:lang w:val="en-GB"/>
              </w:rPr>
              <w:t>10 % of depreciable FCI</w:t>
            </w:r>
          </w:p>
        </w:tc>
      </w:tr>
      <w:tr w:rsidR="009E6F04" w:rsidRPr="00B57B36" w14:paraId="5B8949BF" w14:textId="77777777" w:rsidTr="00851869">
        <w:trPr>
          <w:trHeight w:val="206"/>
        </w:trPr>
        <w:tc>
          <w:tcPr>
            <w:tcW w:w="4497" w:type="dxa"/>
            <w:shd w:val="clear" w:color="auto" w:fill="FFFFFF"/>
          </w:tcPr>
          <w:p w14:paraId="1669434D" w14:textId="06BAD43F" w:rsidR="009E6F04" w:rsidRPr="009E6F04" w:rsidRDefault="009E6F04" w:rsidP="00E26032">
            <w:pPr>
              <w:pStyle w:val="CETBodytext"/>
              <w:ind w:right="-1"/>
              <w:rPr>
                <w:rFonts w:cs="Arial"/>
                <w:szCs w:val="18"/>
                <w:lang w:val="en-GB"/>
              </w:rPr>
            </w:pPr>
            <w:r w:rsidRPr="009E6F04">
              <w:rPr>
                <w:rFonts w:cs="Arial"/>
                <w:szCs w:val="18"/>
                <w:lang w:val="en-GB"/>
              </w:rPr>
              <w:t>Construction time of the plant (years</w:t>
            </w:r>
            <w:r>
              <w:rPr>
                <w:rFonts w:cs="Arial"/>
                <w:szCs w:val="18"/>
                <w:lang w:val="en-GB"/>
              </w:rPr>
              <w:t>)</w:t>
            </w:r>
          </w:p>
        </w:tc>
        <w:tc>
          <w:tcPr>
            <w:tcW w:w="4290" w:type="dxa"/>
            <w:shd w:val="clear" w:color="auto" w:fill="FFFFFF"/>
          </w:tcPr>
          <w:p w14:paraId="5F47AB73" w14:textId="1190B701" w:rsidR="009E6F04" w:rsidRPr="009E6F04" w:rsidRDefault="009E6F04" w:rsidP="00E26032">
            <w:pPr>
              <w:pStyle w:val="CETBodytext"/>
              <w:ind w:right="-1"/>
              <w:rPr>
                <w:rFonts w:cs="Arial"/>
                <w:szCs w:val="18"/>
                <w:lang w:val="en-GB"/>
              </w:rPr>
            </w:pPr>
            <w:r w:rsidRPr="009E6F04">
              <w:rPr>
                <w:rFonts w:cs="Arial"/>
                <w:szCs w:val="18"/>
                <w:lang w:val="en-GB"/>
              </w:rPr>
              <w:t>3 years</w:t>
            </w:r>
          </w:p>
        </w:tc>
      </w:tr>
      <w:tr w:rsidR="009E6F04" w:rsidRPr="00B57B36" w14:paraId="0B1AC12C" w14:textId="77777777" w:rsidTr="00851869">
        <w:trPr>
          <w:trHeight w:val="123"/>
        </w:trPr>
        <w:tc>
          <w:tcPr>
            <w:tcW w:w="4497" w:type="dxa"/>
            <w:shd w:val="clear" w:color="auto" w:fill="FFFFFF"/>
          </w:tcPr>
          <w:p w14:paraId="5AC60B2D" w14:textId="2082FC99" w:rsidR="009E6F04" w:rsidRPr="009E6F04" w:rsidRDefault="009E6F04" w:rsidP="00E26032">
            <w:pPr>
              <w:pStyle w:val="CETBodytext"/>
              <w:ind w:right="-1"/>
              <w:rPr>
                <w:rFonts w:cs="Arial"/>
                <w:szCs w:val="18"/>
                <w:lang w:val="en-GB"/>
              </w:rPr>
            </w:pPr>
            <w:r w:rsidRPr="009E6F04">
              <w:rPr>
                <w:rFonts w:cs="Arial"/>
                <w:szCs w:val="18"/>
                <w:lang w:val="en-GB"/>
              </w:rPr>
              <w:t>Income taxes rate (ITR)</w:t>
            </w:r>
          </w:p>
        </w:tc>
        <w:tc>
          <w:tcPr>
            <w:tcW w:w="4290" w:type="dxa"/>
            <w:shd w:val="clear" w:color="auto" w:fill="FFFFFF"/>
          </w:tcPr>
          <w:p w14:paraId="7AA79C0E" w14:textId="331F6795" w:rsidR="009E6F04" w:rsidRPr="009E6F04" w:rsidRDefault="009E6F04" w:rsidP="00E26032">
            <w:pPr>
              <w:pStyle w:val="CETBodytext"/>
              <w:ind w:right="-1"/>
              <w:rPr>
                <w:rFonts w:cs="Arial"/>
                <w:szCs w:val="18"/>
                <w:lang w:val="en-GB"/>
              </w:rPr>
            </w:pPr>
            <w:r w:rsidRPr="009E6F04">
              <w:rPr>
                <w:rFonts w:cs="Arial"/>
                <w:szCs w:val="18"/>
                <w:lang w:val="en-GB"/>
              </w:rPr>
              <w:t>32</w:t>
            </w:r>
            <w:r w:rsidR="003D56C9">
              <w:rPr>
                <w:rFonts w:cs="Arial"/>
                <w:szCs w:val="18"/>
                <w:lang w:val="en-GB"/>
              </w:rPr>
              <w:t xml:space="preserve"> </w:t>
            </w:r>
            <w:r w:rsidRPr="009E6F04">
              <w:rPr>
                <w:rFonts w:cs="Arial"/>
                <w:szCs w:val="18"/>
                <w:lang w:val="en-GB"/>
              </w:rPr>
              <w:t>%</w:t>
            </w:r>
          </w:p>
        </w:tc>
      </w:tr>
      <w:tr w:rsidR="009E6F04" w:rsidRPr="00B57B36" w14:paraId="27AA8F73" w14:textId="77777777" w:rsidTr="00851869">
        <w:trPr>
          <w:trHeight w:val="184"/>
        </w:trPr>
        <w:tc>
          <w:tcPr>
            <w:tcW w:w="4497" w:type="dxa"/>
            <w:shd w:val="clear" w:color="auto" w:fill="FFFFFF"/>
          </w:tcPr>
          <w:p w14:paraId="4FADA08E" w14:textId="21F131F1" w:rsidR="009E6F04" w:rsidRPr="009E6F04" w:rsidRDefault="009E6F04" w:rsidP="00E26032">
            <w:pPr>
              <w:pStyle w:val="CETBodytext"/>
              <w:ind w:right="-1"/>
              <w:rPr>
                <w:rFonts w:cs="Arial"/>
                <w:szCs w:val="18"/>
                <w:lang w:val="en-GB"/>
              </w:rPr>
            </w:pPr>
            <w:r w:rsidRPr="009E6F04">
              <w:rPr>
                <w:rFonts w:cs="Arial"/>
                <w:szCs w:val="18"/>
                <w:lang w:val="en-GB"/>
              </w:rPr>
              <w:t>Interest</w:t>
            </w:r>
          </w:p>
        </w:tc>
        <w:tc>
          <w:tcPr>
            <w:tcW w:w="4290" w:type="dxa"/>
            <w:shd w:val="clear" w:color="auto" w:fill="FFFFFF"/>
          </w:tcPr>
          <w:p w14:paraId="52F54D7D" w14:textId="01D4E0D9" w:rsidR="009E6F04" w:rsidRPr="009E6F04" w:rsidRDefault="004A4124" w:rsidP="00E26032">
            <w:pPr>
              <w:pStyle w:val="CETBodytext"/>
              <w:ind w:right="-1"/>
              <w:rPr>
                <w:rFonts w:cs="Arial"/>
                <w:szCs w:val="18"/>
                <w:lang w:val="en-GB"/>
              </w:rPr>
            </w:pPr>
            <w:r w:rsidRPr="004A4124">
              <w:rPr>
                <w:rFonts w:cs="Arial"/>
                <w:szCs w:val="18"/>
                <w:lang w:val="en-GB"/>
              </w:rPr>
              <w:t>8.3 %</w:t>
            </w:r>
          </w:p>
        </w:tc>
      </w:tr>
      <w:tr w:rsidR="004A4124" w:rsidRPr="00B57B36" w14:paraId="50494A86" w14:textId="77777777" w:rsidTr="00851869">
        <w:trPr>
          <w:trHeight w:val="125"/>
        </w:trPr>
        <w:tc>
          <w:tcPr>
            <w:tcW w:w="4497" w:type="dxa"/>
            <w:shd w:val="clear" w:color="auto" w:fill="FFFFFF"/>
          </w:tcPr>
          <w:p w14:paraId="18DD99BC" w14:textId="365B24A0" w:rsidR="004A4124" w:rsidRPr="004A4124" w:rsidRDefault="004A4124" w:rsidP="00E26032">
            <w:pPr>
              <w:pStyle w:val="CETBodytext"/>
              <w:ind w:right="-1"/>
              <w:rPr>
                <w:rFonts w:cs="Arial"/>
                <w:szCs w:val="18"/>
                <w:lang w:val="en-GB"/>
              </w:rPr>
            </w:pPr>
            <w:r w:rsidRPr="004A4124">
              <w:rPr>
                <w:rFonts w:cs="Arial"/>
                <w:szCs w:val="18"/>
                <w:lang w:val="en-GB"/>
              </w:rPr>
              <w:t>Project type</w:t>
            </w:r>
          </w:p>
        </w:tc>
        <w:tc>
          <w:tcPr>
            <w:tcW w:w="4290" w:type="dxa"/>
            <w:shd w:val="clear" w:color="auto" w:fill="FFFFFF"/>
          </w:tcPr>
          <w:p w14:paraId="085F6F9B" w14:textId="3622DAF2" w:rsidR="004A4124" w:rsidRPr="004A4124" w:rsidRDefault="004A4124" w:rsidP="00E26032">
            <w:pPr>
              <w:pStyle w:val="CETBodytext"/>
              <w:ind w:right="-1"/>
              <w:rPr>
                <w:rFonts w:cs="Arial"/>
                <w:szCs w:val="18"/>
                <w:lang w:val="en-GB"/>
              </w:rPr>
            </w:pPr>
            <w:r w:rsidRPr="004A4124">
              <w:rPr>
                <w:rFonts w:cs="Arial"/>
                <w:szCs w:val="18"/>
                <w:lang w:val="en-GB"/>
              </w:rPr>
              <w:t>Plant on non-built land</w:t>
            </w:r>
          </w:p>
        </w:tc>
      </w:tr>
      <w:tr w:rsidR="004A4124" w:rsidRPr="00B57B36" w14:paraId="6FC6635D" w14:textId="77777777" w:rsidTr="008C671F">
        <w:trPr>
          <w:trHeight w:val="249"/>
        </w:trPr>
        <w:tc>
          <w:tcPr>
            <w:tcW w:w="4497" w:type="dxa"/>
            <w:shd w:val="clear" w:color="auto" w:fill="FFFFFF"/>
          </w:tcPr>
          <w:p w14:paraId="0E1DB903" w14:textId="4FD29ADA" w:rsidR="004A4124" w:rsidRPr="004A4124" w:rsidRDefault="004A4124" w:rsidP="00E26032">
            <w:pPr>
              <w:pStyle w:val="CETBodytext"/>
              <w:ind w:right="-1"/>
              <w:rPr>
                <w:rFonts w:cs="Arial"/>
                <w:szCs w:val="18"/>
                <w:lang w:val="en-GB"/>
              </w:rPr>
            </w:pPr>
            <w:r w:rsidRPr="004A4124">
              <w:rPr>
                <w:rFonts w:cs="Arial"/>
                <w:szCs w:val="18"/>
                <w:lang w:val="en-GB"/>
              </w:rPr>
              <w:t>Percentage of contingency (%)</w:t>
            </w:r>
          </w:p>
        </w:tc>
        <w:tc>
          <w:tcPr>
            <w:tcW w:w="4290" w:type="dxa"/>
            <w:shd w:val="clear" w:color="auto" w:fill="FFFFFF"/>
          </w:tcPr>
          <w:p w14:paraId="254F56EC" w14:textId="0DFEC365" w:rsidR="004A4124" w:rsidRPr="004A4124" w:rsidRDefault="00A203B8" w:rsidP="00E26032">
            <w:pPr>
              <w:pStyle w:val="CETBodytext"/>
              <w:ind w:right="-1"/>
              <w:rPr>
                <w:rFonts w:cs="Arial"/>
                <w:szCs w:val="18"/>
                <w:lang w:val="en-GB"/>
              </w:rPr>
            </w:pPr>
            <w:r>
              <w:rPr>
                <w:rFonts w:cs="Arial"/>
                <w:szCs w:val="18"/>
                <w:lang w:val="en-GB"/>
              </w:rPr>
              <w:t>30</w:t>
            </w:r>
          </w:p>
        </w:tc>
      </w:tr>
      <w:tr w:rsidR="004A4124" w:rsidRPr="00B57B36" w14:paraId="3C14F0AF" w14:textId="77777777" w:rsidTr="00851869">
        <w:trPr>
          <w:trHeight w:val="227"/>
        </w:trPr>
        <w:tc>
          <w:tcPr>
            <w:tcW w:w="4497" w:type="dxa"/>
            <w:shd w:val="clear" w:color="auto" w:fill="FFFFFF"/>
          </w:tcPr>
          <w:p w14:paraId="665BD993" w14:textId="66629EC3" w:rsidR="004A4124" w:rsidRPr="004A4124" w:rsidRDefault="004A4124" w:rsidP="00E26032">
            <w:pPr>
              <w:pStyle w:val="CETBodytext"/>
              <w:ind w:right="-1"/>
              <w:rPr>
                <w:rFonts w:cs="Arial"/>
                <w:szCs w:val="18"/>
                <w:lang w:val="en-GB"/>
              </w:rPr>
            </w:pPr>
            <w:r w:rsidRPr="004A4124">
              <w:rPr>
                <w:rFonts w:cs="Arial"/>
                <w:szCs w:val="18"/>
                <w:lang w:val="en-GB"/>
              </w:rPr>
              <w:t>Number of workers per shift</w:t>
            </w:r>
          </w:p>
        </w:tc>
        <w:tc>
          <w:tcPr>
            <w:tcW w:w="4290" w:type="dxa"/>
            <w:shd w:val="clear" w:color="auto" w:fill="FFFFFF"/>
          </w:tcPr>
          <w:p w14:paraId="6CB6CE4A" w14:textId="1DB966ED" w:rsidR="004A4124" w:rsidRPr="004A4124" w:rsidRDefault="004A4124" w:rsidP="00E26032">
            <w:pPr>
              <w:pStyle w:val="CETBodytext"/>
              <w:ind w:right="-1"/>
              <w:rPr>
                <w:rFonts w:cs="Arial"/>
                <w:szCs w:val="18"/>
                <w:lang w:val="en-GB"/>
              </w:rPr>
            </w:pPr>
            <w:r w:rsidRPr="004A4124">
              <w:rPr>
                <w:rFonts w:cs="Arial"/>
                <w:szCs w:val="18"/>
                <w:lang w:val="en-GB"/>
              </w:rPr>
              <w:t>15</w:t>
            </w:r>
          </w:p>
        </w:tc>
      </w:tr>
      <w:tr w:rsidR="004A4124" w:rsidRPr="00B57B36" w14:paraId="128C1204" w14:textId="77777777" w:rsidTr="008C671F">
        <w:trPr>
          <w:trHeight w:val="249"/>
        </w:trPr>
        <w:tc>
          <w:tcPr>
            <w:tcW w:w="4497" w:type="dxa"/>
            <w:shd w:val="clear" w:color="auto" w:fill="FFFFFF"/>
          </w:tcPr>
          <w:p w14:paraId="486B1AC4" w14:textId="20A36792" w:rsidR="004A4124" w:rsidRPr="004A4124" w:rsidRDefault="004A4124" w:rsidP="00E26032">
            <w:pPr>
              <w:pStyle w:val="CETBodytext"/>
              <w:ind w:right="-1"/>
              <w:rPr>
                <w:rFonts w:cs="Arial"/>
                <w:szCs w:val="18"/>
                <w:lang w:val="en-GB"/>
              </w:rPr>
            </w:pPr>
            <w:r w:rsidRPr="004A4124">
              <w:rPr>
                <w:rFonts w:cs="Arial"/>
                <w:szCs w:val="18"/>
                <w:lang w:val="en-GB"/>
              </w:rPr>
              <w:t>Salary per operator ($/h)</w:t>
            </w:r>
          </w:p>
        </w:tc>
        <w:tc>
          <w:tcPr>
            <w:tcW w:w="4290" w:type="dxa"/>
            <w:shd w:val="clear" w:color="auto" w:fill="FFFFFF"/>
          </w:tcPr>
          <w:p w14:paraId="4FEEADBD" w14:textId="187FB38F" w:rsidR="004A4124" w:rsidRPr="004A4124" w:rsidRDefault="004A4124" w:rsidP="00E26032">
            <w:pPr>
              <w:pStyle w:val="CETBodytext"/>
              <w:ind w:right="-1"/>
              <w:rPr>
                <w:rFonts w:cs="Arial"/>
                <w:szCs w:val="18"/>
                <w:lang w:val="en-GB"/>
              </w:rPr>
            </w:pPr>
            <w:r>
              <w:rPr>
                <w:rFonts w:cs="Arial"/>
                <w:szCs w:val="18"/>
                <w:lang w:val="en-GB"/>
              </w:rPr>
              <w:t>30.</w:t>
            </w:r>
            <w:r w:rsidRPr="004A4124">
              <w:rPr>
                <w:rFonts w:cs="Arial"/>
                <w:szCs w:val="18"/>
                <w:lang w:val="en-GB"/>
              </w:rPr>
              <w:t>00</w:t>
            </w:r>
          </w:p>
        </w:tc>
      </w:tr>
    </w:tbl>
    <w:p w14:paraId="2A885BD5" w14:textId="0BD51083" w:rsidR="00126FB6" w:rsidRDefault="00126FB6" w:rsidP="00F771D3">
      <w:pPr>
        <w:pStyle w:val="CETBodytext"/>
      </w:pPr>
      <w:r w:rsidRPr="00126FB6">
        <w:lastRenderedPageBreak/>
        <w:t xml:space="preserve">Moreover, the cost of the land, construction expenses, pipes, contractor fees are observed, besides, a value is obtained for contingencies, that is, the value of money that can be used to compensate for unforeseen events, such as floods, strikes, price changes, design changes, among others. Table 2 shows the results of the costs associated with the assembly of the crude avocado oil production plant. The cost of the processing equipment is the main part </w:t>
      </w:r>
      <w:r w:rsidR="004B4C93">
        <w:t>of</w:t>
      </w:r>
      <w:r w:rsidRPr="00126FB6">
        <w:t xml:space="preserve"> fixed capital investment estimation, for its calculation was considered the equipment required in each stage of the process such as the three washing equipment, two separators of peel and pulp, filter separator, mixer, dryer, centrifuge, flash separator, condenser, heat exchanger and extraction equipment; In addition, regard shipping and installation expenses, which involves labor costs and factors directly related to the assembly and installation of the purchased equipment. The equipment represents the highest costs compared to other factors that affect DFCI associated with the production process, for example, piping, electrical installations, instrumentation, buildings, and services facilities that include plumbing, heating, lighting, ventilation, and similar services.</w:t>
      </w:r>
    </w:p>
    <w:p w14:paraId="2F05EA49" w14:textId="1298C8E7" w:rsidR="0067088A" w:rsidRPr="00B57B36" w:rsidRDefault="005A5A90" w:rsidP="0067088A">
      <w:pPr>
        <w:pStyle w:val="CETTabletitle"/>
      </w:pPr>
      <w:r>
        <w:t>Table 2</w:t>
      </w:r>
      <w:r w:rsidR="009F1A6E">
        <w:t xml:space="preserve">: </w:t>
      </w:r>
      <w:r w:rsidR="009F1A6E" w:rsidRPr="009F1A6E">
        <w:t xml:space="preserve">Total capital investment for </w:t>
      </w:r>
      <w:r w:rsidR="00E72FDA">
        <w:t>creole avocado oil extraction plant</w:t>
      </w:r>
      <w:r w:rsidR="009F1A6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036"/>
        <w:gridCol w:w="4036"/>
      </w:tblGrid>
      <w:tr w:rsidR="002F734D" w:rsidRPr="00B57B36" w14:paraId="2D25F58B" w14:textId="77777777" w:rsidTr="00851869">
        <w:trPr>
          <w:trHeight w:val="204"/>
        </w:trPr>
        <w:tc>
          <w:tcPr>
            <w:tcW w:w="4036" w:type="dxa"/>
            <w:tcBorders>
              <w:top w:val="single" w:sz="12" w:space="0" w:color="008000"/>
              <w:bottom w:val="single" w:sz="6" w:space="0" w:color="008000"/>
            </w:tcBorders>
            <w:shd w:val="clear" w:color="auto" w:fill="FFFFFF"/>
          </w:tcPr>
          <w:p w14:paraId="5B028FEC" w14:textId="0768610E" w:rsidR="002F734D" w:rsidRPr="002F734D" w:rsidRDefault="002F734D" w:rsidP="00063397">
            <w:pPr>
              <w:pStyle w:val="CETBodytext"/>
              <w:rPr>
                <w:b/>
                <w:lang w:val="en-GB"/>
              </w:rPr>
            </w:pPr>
            <w:r w:rsidRPr="002F734D">
              <w:rPr>
                <w:b/>
                <w:lang w:val="en-GB"/>
              </w:rPr>
              <w:t>Costs of capital investment</w:t>
            </w:r>
          </w:p>
        </w:tc>
        <w:tc>
          <w:tcPr>
            <w:tcW w:w="4036" w:type="dxa"/>
            <w:tcBorders>
              <w:top w:val="single" w:sz="12" w:space="0" w:color="008000"/>
              <w:bottom w:val="single" w:sz="6" w:space="0" w:color="008000"/>
            </w:tcBorders>
            <w:shd w:val="clear" w:color="auto" w:fill="FFFFFF"/>
          </w:tcPr>
          <w:p w14:paraId="0C5837EA" w14:textId="0DD054FE" w:rsidR="002F734D" w:rsidRPr="00223E0D" w:rsidRDefault="009F1A6E" w:rsidP="00063397">
            <w:pPr>
              <w:pStyle w:val="CETBodytext"/>
              <w:rPr>
                <w:b/>
                <w:lang w:val="en-GB"/>
              </w:rPr>
            </w:pPr>
            <w:r w:rsidRPr="00223E0D">
              <w:rPr>
                <w:b/>
                <w:lang w:val="en-GB"/>
              </w:rPr>
              <w:t>Total (US$)</w:t>
            </w:r>
          </w:p>
        </w:tc>
      </w:tr>
      <w:tr w:rsidR="002F734D" w:rsidRPr="00B57B36" w14:paraId="315BAD88" w14:textId="77777777" w:rsidTr="00851869">
        <w:trPr>
          <w:trHeight w:val="94"/>
        </w:trPr>
        <w:tc>
          <w:tcPr>
            <w:tcW w:w="4036" w:type="dxa"/>
            <w:shd w:val="clear" w:color="auto" w:fill="FFFFFF"/>
          </w:tcPr>
          <w:p w14:paraId="2449982F" w14:textId="5F0F0B2A" w:rsidR="002F734D" w:rsidRPr="00B57B36" w:rsidRDefault="0063616F" w:rsidP="00063397">
            <w:pPr>
              <w:pStyle w:val="CETBodytext"/>
              <w:rPr>
                <w:lang w:val="en-GB"/>
              </w:rPr>
            </w:pPr>
            <w:r w:rsidRPr="0063616F">
              <w:rPr>
                <w:lang w:val="en-GB"/>
              </w:rPr>
              <w:t>Delivered purchased equipment cost</w:t>
            </w:r>
          </w:p>
        </w:tc>
        <w:tc>
          <w:tcPr>
            <w:tcW w:w="4036" w:type="dxa"/>
            <w:shd w:val="clear" w:color="auto" w:fill="FFFFFF"/>
          </w:tcPr>
          <w:p w14:paraId="36600FE0" w14:textId="6AFAD4DB" w:rsidR="002F734D" w:rsidRPr="00B57B36" w:rsidRDefault="00626FA5" w:rsidP="00063397">
            <w:pPr>
              <w:pStyle w:val="CETBodytext"/>
              <w:rPr>
                <w:lang w:val="en-GB"/>
              </w:rPr>
            </w:pPr>
            <w:r>
              <w:rPr>
                <w:lang w:val="en-GB"/>
              </w:rPr>
              <w:t>924,880.</w:t>
            </w:r>
            <w:r w:rsidRPr="00626FA5">
              <w:rPr>
                <w:lang w:val="en-GB"/>
              </w:rPr>
              <w:t>00</w:t>
            </w:r>
          </w:p>
        </w:tc>
      </w:tr>
      <w:tr w:rsidR="002F734D" w:rsidRPr="00B57B36" w14:paraId="318AC5BF" w14:textId="77777777" w:rsidTr="00851869">
        <w:trPr>
          <w:trHeight w:val="156"/>
        </w:trPr>
        <w:tc>
          <w:tcPr>
            <w:tcW w:w="4036" w:type="dxa"/>
            <w:shd w:val="clear" w:color="auto" w:fill="FFFFFF"/>
          </w:tcPr>
          <w:p w14:paraId="251D17EB" w14:textId="52FF6890" w:rsidR="002F734D" w:rsidRPr="00B57B36" w:rsidRDefault="0063616F" w:rsidP="00063397">
            <w:pPr>
              <w:pStyle w:val="CETBodytext"/>
              <w:ind w:right="-1"/>
              <w:rPr>
                <w:rFonts w:cs="Arial"/>
                <w:szCs w:val="18"/>
                <w:lang w:val="en-GB"/>
              </w:rPr>
            </w:pPr>
            <w:r w:rsidRPr="0063616F">
              <w:rPr>
                <w:rFonts w:cs="Arial"/>
                <w:szCs w:val="18"/>
                <w:lang w:val="en-GB"/>
              </w:rPr>
              <w:t>Purchased equipment (installation)</w:t>
            </w:r>
          </w:p>
        </w:tc>
        <w:tc>
          <w:tcPr>
            <w:tcW w:w="4036" w:type="dxa"/>
            <w:shd w:val="clear" w:color="auto" w:fill="FFFFFF"/>
          </w:tcPr>
          <w:p w14:paraId="682B6038" w14:textId="0021F1E7" w:rsidR="002F734D" w:rsidRPr="00B57B36" w:rsidRDefault="00626FA5" w:rsidP="00063397">
            <w:pPr>
              <w:pStyle w:val="CETBodytext"/>
              <w:ind w:right="-1"/>
              <w:rPr>
                <w:rFonts w:cs="Arial"/>
                <w:szCs w:val="18"/>
                <w:lang w:val="en-GB"/>
              </w:rPr>
            </w:pPr>
            <w:r>
              <w:rPr>
                <w:rFonts w:cs="Arial"/>
                <w:szCs w:val="18"/>
                <w:lang w:val="en-GB"/>
              </w:rPr>
              <w:t>184,976.</w:t>
            </w:r>
            <w:r w:rsidRPr="00626FA5">
              <w:rPr>
                <w:rFonts w:cs="Arial"/>
                <w:szCs w:val="18"/>
                <w:lang w:val="en-GB"/>
              </w:rPr>
              <w:t>00</w:t>
            </w:r>
          </w:p>
        </w:tc>
      </w:tr>
      <w:tr w:rsidR="0063616F" w:rsidRPr="00B57B36" w14:paraId="09D1B02D" w14:textId="77777777" w:rsidTr="00851869">
        <w:trPr>
          <w:trHeight w:val="216"/>
        </w:trPr>
        <w:tc>
          <w:tcPr>
            <w:tcW w:w="4036" w:type="dxa"/>
            <w:shd w:val="clear" w:color="auto" w:fill="FFFFFF"/>
          </w:tcPr>
          <w:p w14:paraId="00AECC2A" w14:textId="497B398F" w:rsidR="0063616F" w:rsidRPr="0063616F" w:rsidRDefault="0063616F" w:rsidP="00063397">
            <w:pPr>
              <w:pStyle w:val="CETBodytext"/>
              <w:ind w:right="-1"/>
              <w:rPr>
                <w:rFonts w:cs="Arial"/>
                <w:szCs w:val="18"/>
                <w:lang w:val="en-GB"/>
              </w:rPr>
            </w:pPr>
            <w:r w:rsidRPr="0063616F">
              <w:rPr>
                <w:rFonts w:cs="Arial"/>
                <w:szCs w:val="18"/>
                <w:lang w:val="en-GB"/>
              </w:rPr>
              <w:t>Instrumentation (installed)</w:t>
            </w:r>
          </w:p>
        </w:tc>
        <w:tc>
          <w:tcPr>
            <w:tcW w:w="4036" w:type="dxa"/>
            <w:shd w:val="clear" w:color="auto" w:fill="FFFFFF"/>
          </w:tcPr>
          <w:p w14:paraId="4CDB0813" w14:textId="3362D4AE" w:rsidR="0063616F" w:rsidRPr="00B57B36" w:rsidRDefault="00626FA5" w:rsidP="00063397">
            <w:pPr>
              <w:pStyle w:val="CETBodytext"/>
              <w:ind w:right="-1"/>
              <w:rPr>
                <w:rFonts w:cs="Arial"/>
                <w:szCs w:val="18"/>
                <w:lang w:val="en-GB"/>
              </w:rPr>
            </w:pPr>
            <w:r>
              <w:rPr>
                <w:rFonts w:cs="Arial"/>
                <w:szCs w:val="18"/>
                <w:lang w:val="en-GB"/>
              </w:rPr>
              <w:t>73,990.</w:t>
            </w:r>
            <w:r w:rsidRPr="00626FA5">
              <w:rPr>
                <w:rFonts w:cs="Arial"/>
                <w:szCs w:val="18"/>
                <w:lang w:val="en-GB"/>
              </w:rPr>
              <w:t>40</w:t>
            </w:r>
          </w:p>
        </w:tc>
      </w:tr>
      <w:tr w:rsidR="0063616F" w:rsidRPr="00B57B36" w14:paraId="6248F91B" w14:textId="77777777" w:rsidTr="00851869">
        <w:trPr>
          <w:trHeight w:val="134"/>
        </w:trPr>
        <w:tc>
          <w:tcPr>
            <w:tcW w:w="4036" w:type="dxa"/>
            <w:shd w:val="clear" w:color="auto" w:fill="FFFFFF"/>
          </w:tcPr>
          <w:p w14:paraId="2D832F55" w14:textId="2D069E31" w:rsidR="0063616F" w:rsidRPr="0063616F" w:rsidRDefault="0063616F" w:rsidP="00063397">
            <w:pPr>
              <w:pStyle w:val="CETBodytext"/>
              <w:ind w:right="-1"/>
              <w:rPr>
                <w:rFonts w:cs="Arial"/>
                <w:szCs w:val="18"/>
                <w:lang w:val="en-GB"/>
              </w:rPr>
            </w:pPr>
            <w:r w:rsidRPr="0063616F">
              <w:rPr>
                <w:rFonts w:cs="Arial"/>
                <w:szCs w:val="18"/>
                <w:lang w:val="en-GB"/>
              </w:rPr>
              <w:t>Piping (installed)</w:t>
            </w:r>
          </w:p>
        </w:tc>
        <w:tc>
          <w:tcPr>
            <w:tcW w:w="4036" w:type="dxa"/>
            <w:shd w:val="clear" w:color="auto" w:fill="FFFFFF"/>
          </w:tcPr>
          <w:p w14:paraId="1CBB8E26" w14:textId="1BA8E59C" w:rsidR="0063616F" w:rsidRPr="00B57B36" w:rsidRDefault="00626FA5" w:rsidP="00063397">
            <w:pPr>
              <w:pStyle w:val="CETBodytext"/>
              <w:ind w:right="-1"/>
              <w:rPr>
                <w:rFonts w:cs="Arial"/>
                <w:szCs w:val="18"/>
                <w:lang w:val="en-GB"/>
              </w:rPr>
            </w:pPr>
            <w:r>
              <w:rPr>
                <w:rFonts w:cs="Arial"/>
                <w:szCs w:val="18"/>
                <w:lang w:val="en-GB"/>
              </w:rPr>
              <w:t>184,976.</w:t>
            </w:r>
            <w:r w:rsidRPr="00626FA5">
              <w:rPr>
                <w:rFonts w:cs="Arial"/>
                <w:szCs w:val="18"/>
                <w:lang w:val="en-GB"/>
              </w:rPr>
              <w:t>00</w:t>
            </w:r>
          </w:p>
        </w:tc>
      </w:tr>
      <w:tr w:rsidR="0063616F" w:rsidRPr="00B57B36" w14:paraId="26BF1B3E" w14:textId="77777777" w:rsidTr="00851869">
        <w:trPr>
          <w:trHeight w:val="180"/>
        </w:trPr>
        <w:tc>
          <w:tcPr>
            <w:tcW w:w="4036" w:type="dxa"/>
            <w:shd w:val="clear" w:color="auto" w:fill="FFFFFF"/>
          </w:tcPr>
          <w:p w14:paraId="4E8C61B8" w14:textId="215AEF96" w:rsidR="0063616F" w:rsidRPr="0063616F" w:rsidRDefault="0063616F" w:rsidP="00063397">
            <w:pPr>
              <w:pStyle w:val="CETBodytext"/>
              <w:ind w:right="-1"/>
              <w:rPr>
                <w:rFonts w:cs="Arial"/>
                <w:szCs w:val="18"/>
                <w:lang w:val="en-GB"/>
              </w:rPr>
            </w:pPr>
            <w:r w:rsidRPr="0063616F">
              <w:rPr>
                <w:rFonts w:cs="Arial"/>
                <w:szCs w:val="18"/>
                <w:lang w:val="en-GB"/>
              </w:rPr>
              <w:t>Electrical (installed)</w:t>
            </w:r>
          </w:p>
        </w:tc>
        <w:tc>
          <w:tcPr>
            <w:tcW w:w="4036" w:type="dxa"/>
            <w:shd w:val="clear" w:color="auto" w:fill="FFFFFF"/>
          </w:tcPr>
          <w:p w14:paraId="7A8DA350" w14:textId="43BAD520" w:rsidR="0063616F" w:rsidRPr="00B57B36" w:rsidRDefault="00626FA5" w:rsidP="00063397">
            <w:pPr>
              <w:pStyle w:val="CETBodytext"/>
              <w:ind w:right="-1"/>
              <w:rPr>
                <w:rFonts w:cs="Arial"/>
                <w:szCs w:val="18"/>
                <w:lang w:val="en-GB"/>
              </w:rPr>
            </w:pPr>
            <w:r>
              <w:rPr>
                <w:rFonts w:cs="Arial"/>
                <w:szCs w:val="18"/>
                <w:lang w:val="en-GB"/>
              </w:rPr>
              <w:t>120,234.</w:t>
            </w:r>
            <w:r w:rsidRPr="00626FA5">
              <w:rPr>
                <w:rFonts w:cs="Arial"/>
                <w:szCs w:val="18"/>
                <w:lang w:val="en-GB"/>
              </w:rPr>
              <w:t>40</w:t>
            </w:r>
          </w:p>
        </w:tc>
      </w:tr>
      <w:tr w:rsidR="0063616F" w:rsidRPr="00B57B36" w14:paraId="05D3A198" w14:textId="77777777" w:rsidTr="00851869">
        <w:trPr>
          <w:trHeight w:val="239"/>
        </w:trPr>
        <w:tc>
          <w:tcPr>
            <w:tcW w:w="4036" w:type="dxa"/>
            <w:shd w:val="clear" w:color="auto" w:fill="FFFFFF"/>
          </w:tcPr>
          <w:p w14:paraId="06DC3578" w14:textId="54DA79B6" w:rsidR="0063616F" w:rsidRPr="0063616F" w:rsidRDefault="0063616F" w:rsidP="00063397">
            <w:pPr>
              <w:pStyle w:val="CETBodytext"/>
              <w:ind w:right="-1"/>
              <w:rPr>
                <w:rFonts w:cs="Arial"/>
                <w:szCs w:val="18"/>
                <w:lang w:val="en-GB"/>
              </w:rPr>
            </w:pPr>
            <w:r w:rsidRPr="0063616F">
              <w:rPr>
                <w:rFonts w:cs="Arial"/>
                <w:szCs w:val="18"/>
                <w:lang w:val="en-GB"/>
              </w:rPr>
              <w:t>Buildings (including services)</w:t>
            </w:r>
          </w:p>
        </w:tc>
        <w:tc>
          <w:tcPr>
            <w:tcW w:w="4036" w:type="dxa"/>
            <w:shd w:val="clear" w:color="auto" w:fill="FFFFFF"/>
          </w:tcPr>
          <w:p w14:paraId="48FBFADC" w14:textId="1299CF5D" w:rsidR="0063616F" w:rsidRPr="00B57B36" w:rsidRDefault="00626FA5" w:rsidP="00063397">
            <w:pPr>
              <w:pStyle w:val="CETBodytext"/>
              <w:ind w:right="-1"/>
              <w:rPr>
                <w:rFonts w:cs="Arial"/>
                <w:szCs w:val="18"/>
                <w:lang w:val="en-GB"/>
              </w:rPr>
            </w:pPr>
            <w:r>
              <w:rPr>
                <w:rFonts w:cs="Arial"/>
                <w:szCs w:val="18"/>
                <w:lang w:val="en-GB"/>
              </w:rPr>
              <w:t>369,952.</w:t>
            </w:r>
            <w:r w:rsidRPr="00626FA5">
              <w:rPr>
                <w:rFonts w:cs="Arial"/>
                <w:szCs w:val="18"/>
                <w:lang w:val="en-GB"/>
              </w:rPr>
              <w:t>00</w:t>
            </w:r>
          </w:p>
        </w:tc>
      </w:tr>
      <w:tr w:rsidR="0063616F" w:rsidRPr="00B57B36" w14:paraId="620D27D4" w14:textId="77777777" w:rsidTr="00851869">
        <w:trPr>
          <w:trHeight w:val="144"/>
        </w:trPr>
        <w:tc>
          <w:tcPr>
            <w:tcW w:w="4036" w:type="dxa"/>
            <w:tcBorders>
              <w:bottom w:val="nil"/>
            </w:tcBorders>
            <w:shd w:val="clear" w:color="auto" w:fill="FFFFFF"/>
          </w:tcPr>
          <w:p w14:paraId="6036D304" w14:textId="6F16A181" w:rsidR="0063616F" w:rsidRPr="0063616F" w:rsidRDefault="0063616F" w:rsidP="00063397">
            <w:pPr>
              <w:pStyle w:val="CETBodytext"/>
              <w:ind w:right="-1"/>
              <w:rPr>
                <w:rFonts w:cs="Arial"/>
                <w:szCs w:val="18"/>
                <w:lang w:val="en-GB"/>
              </w:rPr>
            </w:pPr>
            <w:r w:rsidRPr="0063616F">
              <w:rPr>
                <w:rFonts w:cs="Arial"/>
                <w:szCs w:val="18"/>
                <w:lang w:val="en-GB"/>
              </w:rPr>
              <w:t>Services facilities (installed)</w:t>
            </w:r>
          </w:p>
        </w:tc>
        <w:tc>
          <w:tcPr>
            <w:tcW w:w="4036" w:type="dxa"/>
            <w:tcBorders>
              <w:bottom w:val="nil"/>
            </w:tcBorders>
            <w:shd w:val="clear" w:color="auto" w:fill="FFFFFF"/>
          </w:tcPr>
          <w:p w14:paraId="324A28D4" w14:textId="0953A952" w:rsidR="0063616F" w:rsidRPr="00B57B36" w:rsidRDefault="00626FA5" w:rsidP="00063397">
            <w:pPr>
              <w:pStyle w:val="CETBodytext"/>
              <w:ind w:right="-1"/>
              <w:rPr>
                <w:rFonts w:cs="Arial"/>
                <w:szCs w:val="18"/>
                <w:lang w:val="en-GB"/>
              </w:rPr>
            </w:pPr>
            <w:r w:rsidRPr="00626FA5">
              <w:rPr>
                <w:rFonts w:cs="Arial"/>
                <w:szCs w:val="18"/>
                <w:lang w:val="en-GB"/>
              </w:rPr>
              <w:t>277.464,00</w:t>
            </w:r>
          </w:p>
        </w:tc>
      </w:tr>
      <w:tr w:rsidR="0063616F" w:rsidRPr="00B57B36" w14:paraId="1C8B91C7" w14:textId="77777777" w:rsidTr="00851869">
        <w:trPr>
          <w:trHeight w:val="203"/>
        </w:trPr>
        <w:tc>
          <w:tcPr>
            <w:tcW w:w="4036" w:type="dxa"/>
            <w:tcBorders>
              <w:top w:val="nil"/>
              <w:bottom w:val="single" w:sz="4" w:space="0" w:color="4F6228" w:themeColor="accent3" w:themeShade="80"/>
            </w:tcBorders>
            <w:shd w:val="clear" w:color="auto" w:fill="FFFFFF"/>
          </w:tcPr>
          <w:p w14:paraId="58A7766F" w14:textId="1B079C99" w:rsidR="0063616F" w:rsidRPr="0063616F" w:rsidRDefault="0063616F" w:rsidP="00063397">
            <w:pPr>
              <w:pStyle w:val="CETBodytext"/>
              <w:ind w:right="-1"/>
              <w:rPr>
                <w:rFonts w:cs="Arial"/>
                <w:b/>
                <w:szCs w:val="18"/>
                <w:lang w:val="en-GB"/>
              </w:rPr>
            </w:pPr>
            <w:r w:rsidRPr="0063616F">
              <w:rPr>
                <w:rFonts w:cs="Arial"/>
                <w:b/>
                <w:szCs w:val="18"/>
                <w:lang w:val="en-GB"/>
              </w:rPr>
              <w:t>Total DFCI</w:t>
            </w:r>
          </w:p>
        </w:tc>
        <w:tc>
          <w:tcPr>
            <w:tcW w:w="4036" w:type="dxa"/>
            <w:tcBorders>
              <w:top w:val="nil"/>
              <w:bottom w:val="single" w:sz="4" w:space="0" w:color="4F6228" w:themeColor="accent3" w:themeShade="80"/>
            </w:tcBorders>
            <w:shd w:val="clear" w:color="auto" w:fill="FFFFFF"/>
          </w:tcPr>
          <w:p w14:paraId="2B775884" w14:textId="248DEBA9" w:rsidR="0063616F" w:rsidRPr="00B57B36" w:rsidRDefault="00626FA5" w:rsidP="00063397">
            <w:pPr>
              <w:pStyle w:val="CETBodytext"/>
              <w:ind w:right="-1"/>
              <w:rPr>
                <w:rFonts w:cs="Arial"/>
                <w:szCs w:val="18"/>
                <w:lang w:val="en-GB"/>
              </w:rPr>
            </w:pPr>
            <w:r>
              <w:rPr>
                <w:rFonts w:cs="Arial"/>
                <w:szCs w:val="18"/>
                <w:lang w:val="en-GB"/>
              </w:rPr>
              <w:t>2,136,472.</w:t>
            </w:r>
            <w:r w:rsidRPr="00626FA5">
              <w:rPr>
                <w:rFonts w:cs="Arial"/>
                <w:szCs w:val="18"/>
                <w:lang w:val="en-GB"/>
              </w:rPr>
              <w:t>80</w:t>
            </w:r>
          </w:p>
        </w:tc>
      </w:tr>
      <w:tr w:rsidR="0063616F" w:rsidRPr="00B57B36" w14:paraId="707CABE5" w14:textId="77777777" w:rsidTr="00851869">
        <w:trPr>
          <w:trHeight w:val="112"/>
        </w:trPr>
        <w:tc>
          <w:tcPr>
            <w:tcW w:w="4036" w:type="dxa"/>
            <w:tcBorders>
              <w:top w:val="single" w:sz="4" w:space="0" w:color="4F6228" w:themeColor="accent3" w:themeShade="80"/>
            </w:tcBorders>
            <w:shd w:val="clear" w:color="auto" w:fill="FFFFFF"/>
          </w:tcPr>
          <w:p w14:paraId="1DD6BEDA" w14:textId="47E23FFD" w:rsidR="0063616F" w:rsidRPr="0063616F" w:rsidRDefault="0063616F" w:rsidP="00063397">
            <w:pPr>
              <w:pStyle w:val="CETBodytext"/>
              <w:ind w:right="-1"/>
              <w:rPr>
                <w:rFonts w:cs="Arial"/>
                <w:szCs w:val="18"/>
                <w:lang w:val="en-GB"/>
              </w:rPr>
            </w:pPr>
            <w:r w:rsidRPr="0063616F">
              <w:rPr>
                <w:rFonts w:cs="Arial"/>
                <w:szCs w:val="18"/>
                <w:lang w:val="en-GB"/>
              </w:rPr>
              <w:t>Land</w:t>
            </w:r>
          </w:p>
        </w:tc>
        <w:tc>
          <w:tcPr>
            <w:tcW w:w="4036" w:type="dxa"/>
            <w:tcBorders>
              <w:top w:val="single" w:sz="4" w:space="0" w:color="4F6228" w:themeColor="accent3" w:themeShade="80"/>
            </w:tcBorders>
            <w:shd w:val="clear" w:color="auto" w:fill="FFFFFF"/>
          </w:tcPr>
          <w:p w14:paraId="526464D2" w14:textId="7E8306FC" w:rsidR="0063616F" w:rsidRPr="00B57B36" w:rsidRDefault="00626FA5" w:rsidP="00063397">
            <w:pPr>
              <w:pStyle w:val="CETBodytext"/>
              <w:ind w:right="-1"/>
              <w:rPr>
                <w:rFonts w:cs="Arial"/>
                <w:szCs w:val="18"/>
                <w:lang w:val="en-GB"/>
              </w:rPr>
            </w:pPr>
            <w:r>
              <w:rPr>
                <w:rFonts w:cs="Arial"/>
                <w:szCs w:val="18"/>
                <w:lang w:val="en-GB"/>
              </w:rPr>
              <w:t>92,488.</w:t>
            </w:r>
            <w:r w:rsidRPr="00626FA5">
              <w:rPr>
                <w:rFonts w:cs="Arial"/>
                <w:szCs w:val="18"/>
                <w:lang w:val="en-GB"/>
              </w:rPr>
              <w:t>00</w:t>
            </w:r>
          </w:p>
        </w:tc>
      </w:tr>
      <w:tr w:rsidR="0063616F" w:rsidRPr="00B57B36" w14:paraId="0E87B752" w14:textId="77777777" w:rsidTr="00851869">
        <w:trPr>
          <w:trHeight w:val="168"/>
        </w:trPr>
        <w:tc>
          <w:tcPr>
            <w:tcW w:w="4036" w:type="dxa"/>
            <w:shd w:val="clear" w:color="auto" w:fill="FFFFFF"/>
          </w:tcPr>
          <w:p w14:paraId="619041CD" w14:textId="6419B7C2" w:rsidR="0063616F" w:rsidRPr="0063616F" w:rsidRDefault="0063616F" w:rsidP="00063397">
            <w:pPr>
              <w:pStyle w:val="CETBodytext"/>
              <w:ind w:right="-1"/>
              <w:rPr>
                <w:rFonts w:cs="Arial"/>
                <w:szCs w:val="18"/>
                <w:lang w:val="en-GB"/>
              </w:rPr>
            </w:pPr>
            <w:r w:rsidRPr="0063616F">
              <w:rPr>
                <w:rFonts w:cs="Arial"/>
                <w:szCs w:val="18"/>
                <w:lang w:val="en-GB"/>
              </w:rPr>
              <w:t>Yard improvements</w:t>
            </w:r>
          </w:p>
        </w:tc>
        <w:tc>
          <w:tcPr>
            <w:tcW w:w="4036" w:type="dxa"/>
            <w:shd w:val="clear" w:color="auto" w:fill="FFFFFF"/>
          </w:tcPr>
          <w:p w14:paraId="763947E3" w14:textId="50EB6F41" w:rsidR="0063616F" w:rsidRPr="00B57B36" w:rsidRDefault="00626FA5" w:rsidP="00063397">
            <w:pPr>
              <w:pStyle w:val="CETBodytext"/>
              <w:ind w:right="-1"/>
              <w:rPr>
                <w:rFonts w:cs="Arial"/>
                <w:szCs w:val="18"/>
                <w:lang w:val="en-GB"/>
              </w:rPr>
            </w:pPr>
            <w:r>
              <w:rPr>
                <w:rFonts w:cs="Arial"/>
                <w:szCs w:val="18"/>
                <w:lang w:val="en-GB"/>
              </w:rPr>
              <w:t>369.952.</w:t>
            </w:r>
            <w:r w:rsidRPr="00626FA5">
              <w:rPr>
                <w:rFonts w:cs="Arial"/>
                <w:szCs w:val="18"/>
                <w:lang w:val="en-GB"/>
              </w:rPr>
              <w:t>00</w:t>
            </w:r>
          </w:p>
        </w:tc>
      </w:tr>
      <w:tr w:rsidR="0063616F" w:rsidRPr="00B57B36" w14:paraId="6FBADA9B" w14:textId="77777777" w:rsidTr="00851869">
        <w:trPr>
          <w:trHeight w:val="213"/>
        </w:trPr>
        <w:tc>
          <w:tcPr>
            <w:tcW w:w="4036" w:type="dxa"/>
            <w:shd w:val="clear" w:color="auto" w:fill="FFFFFF"/>
          </w:tcPr>
          <w:p w14:paraId="391CD450" w14:textId="0682BEBB" w:rsidR="0063616F" w:rsidRPr="0063616F" w:rsidRDefault="00BA7201" w:rsidP="00063397">
            <w:pPr>
              <w:pStyle w:val="CETBodytext"/>
              <w:ind w:right="-1"/>
              <w:rPr>
                <w:rFonts w:cs="Arial"/>
                <w:szCs w:val="18"/>
                <w:lang w:val="en-GB"/>
              </w:rPr>
            </w:pPr>
            <w:r w:rsidRPr="00BA7201">
              <w:rPr>
                <w:rFonts w:cs="Arial"/>
                <w:szCs w:val="18"/>
                <w:lang w:val="en-GB"/>
              </w:rPr>
              <w:t>Engineering and supervision</w:t>
            </w:r>
          </w:p>
        </w:tc>
        <w:tc>
          <w:tcPr>
            <w:tcW w:w="4036" w:type="dxa"/>
            <w:shd w:val="clear" w:color="auto" w:fill="FFFFFF"/>
          </w:tcPr>
          <w:p w14:paraId="2209DEF3" w14:textId="7EBAF321" w:rsidR="0063616F" w:rsidRPr="00B57B36" w:rsidRDefault="00626FA5" w:rsidP="00063397">
            <w:pPr>
              <w:pStyle w:val="CETBodytext"/>
              <w:ind w:right="-1"/>
              <w:rPr>
                <w:rFonts w:cs="Arial"/>
                <w:szCs w:val="18"/>
                <w:lang w:val="en-GB"/>
              </w:rPr>
            </w:pPr>
            <w:r>
              <w:rPr>
                <w:rFonts w:cs="Arial"/>
                <w:szCs w:val="18"/>
                <w:lang w:val="en-GB"/>
              </w:rPr>
              <w:t>295,961.</w:t>
            </w:r>
            <w:r w:rsidRPr="00626FA5">
              <w:rPr>
                <w:rFonts w:cs="Arial"/>
                <w:szCs w:val="18"/>
                <w:lang w:val="en-GB"/>
              </w:rPr>
              <w:t>60</w:t>
            </w:r>
          </w:p>
        </w:tc>
      </w:tr>
      <w:tr w:rsidR="00BA7201" w:rsidRPr="00B57B36" w14:paraId="6339AE45" w14:textId="77777777" w:rsidTr="00851869">
        <w:trPr>
          <w:trHeight w:val="132"/>
        </w:trPr>
        <w:tc>
          <w:tcPr>
            <w:tcW w:w="4036" w:type="dxa"/>
            <w:shd w:val="clear" w:color="auto" w:fill="FFFFFF"/>
          </w:tcPr>
          <w:p w14:paraId="00BA0783" w14:textId="54AD1F34" w:rsidR="00BA7201" w:rsidRPr="00BA7201" w:rsidRDefault="00BA7201" w:rsidP="00063397">
            <w:pPr>
              <w:pStyle w:val="CETBodytext"/>
              <w:ind w:right="-1"/>
              <w:rPr>
                <w:rFonts w:cs="Arial"/>
                <w:szCs w:val="18"/>
                <w:lang w:val="en-GB"/>
              </w:rPr>
            </w:pPr>
            <w:r w:rsidRPr="00BA7201">
              <w:rPr>
                <w:rFonts w:cs="Arial"/>
                <w:szCs w:val="18"/>
                <w:lang w:val="en-GB"/>
              </w:rPr>
              <w:t>Construction expenses</w:t>
            </w:r>
          </w:p>
        </w:tc>
        <w:tc>
          <w:tcPr>
            <w:tcW w:w="4036" w:type="dxa"/>
            <w:shd w:val="clear" w:color="auto" w:fill="FFFFFF"/>
          </w:tcPr>
          <w:p w14:paraId="7BBED68C" w14:textId="3257AD17" w:rsidR="00BA7201" w:rsidRPr="00B57B36" w:rsidRDefault="00626FA5" w:rsidP="00063397">
            <w:pPr>
              <w:pStyle w:val="CETBodytext"/>
              <w:ind w:right="-1"/>
              <w:rPr>
                <w:rFonts w:cs="Arial"/>
                <w:szCs w:val="18"/>
                <w:lang w:val="en-GB"/>
              </w:rPr>
            </w:pPr>
            <w:r>
              <w:rPr>
                <w:rFonts w:cs="Arial"/>
                <w:szCs w:val="18"/>
                <w:lang w:val="en-GB"/>
              </w:rPr>
              <w:t>314,459.</w:t>
            </w:r>
            <w:r w:rsidRPr="00626FA5">
              <w:rPr>
                <w:rFonts w:cs="Arial"/>
                <w:szCs w:val="18"/>
                <w:lang w:val="en-GB"/>
              </w:rPr>
              <w:t>20</w:t>
            </w:r>
          </w:p>
        </w:tc>
      </w:tr>
      <w:tr w:rsidR="00BA7201" w:rsidRPr="00B57B36" w14:paraId="0A701125" w14:textId="77777777" w:rsidTr="00851869">
        <w:trPr>
          <w:trHeight w:val="178"/>
        </w:trPr>
        <w:tc>
          <w:tcPr>
            <w:tcW w:w="4036" w:type="dxa"/>
            <w:shd w:val="clear" w:color="auto" w:fill="FFFFFF"/>
          </w:tcPr>
          <w:p w14:paraId="3E2D2BF3" w14:textId="375BFF49" w:rsidR="00BA7201" w:rsidRPr="00BA7201" w:rsidRDefault="00BA7201" w:rsidP="00063397">
            <w:pPr>
              <w:pStyle w:val="CETBodytext"/>
              <w:ind w:right="-1"/>
              <w:rPr>
                <w:rFonts w:cs="Arial"/>
                <w:szCs w:val="18"/>
                <w:lang w:val="en-GB"/>
              </w:rPr>
            </w:pPr>
            <w:r w:rsidRPr="00BA7201">
              <w:rPr>
                <w:rFonts w:cs="Arial"/>
                <w:szCs w:val="18"/>
                <w:lang w:val="en-GB"/>
              </w:rPr>
              <w:t>Legal expenses</w:t>
            </w:r>
          </w:p>
        </w:tc>
        <w:tc>
          <w:tcPr>
            <w:tcW w:w="4036" w:type="dxa"/>
            <w:shd w:val="clear" w:color="auto" w:fill="FFFFFF"/>
          </w:tcPr>
          <w:p w14:paraId="65FBDD92" w14:textId="110EDF72" w:rsidR="00BA7201" w:rsidRPr="00B57B36" w:rsidRDefault="00626FA5" w:rsidP="00063397">
            <w:pPr>
              <w:pStyle w:val="CETBodytext"/>
              <w:ind w:right="-1"/>
              <w:rPr>
                <w:rFonts w:cs="Arial"/>
                <w:szCs w:val="18"/>
                <w:lang w:val="en-GB"/>
              </w:rPr>
            </w:pPr>
            <w:r>
              <w:rPr>
                <w:rFonts w:cs="Arial"/>
                <w:szCs w:val="18"/>
                <w:lang w:val="en-GB"/>
              </w:rPr>
              <w:t>9,248.</w:t>
            </w:r>
            <w:r w:rsidRPr="00626FA5">
              <w:rPr>
                <w:rFonts w:cs="Arial"/>
                <w:szCs w:val="18"/>
                <w:lang w:val="en-GB"/>
              </w:rPr>
              <w:t>80</w:t>
            </w:r>
          </w:p>
        </w:tc>
      </w:tr>
      <w:tr w:rsidR="00BA7201" w:rsidRPr="00B57B36" w14:paraId="0CD83CAB" w14:textId="77777777" w:rsidTr="00851869">
        <w:trPr>
          <w:trHeight w:val="96"/>
        </w:trPr>
        <w:tc>
          <w:tcPr>
            <w:tcW w:w="4036" w:type="dxa"/>
            <w:shd w:val="clear" w:color="auto" w:fill="FFFFFF"/>
          </w:tcPr>
          <w:p w14:paraId="707A8135" w14:textId="4B81E3CF" w:rsidR="00BA7201" w:rsidRPr="00BA7201" w:rsidRDefault="00BA7201" w:rsidP="00063397">
            <w:pPr>
              <w:pStyle w:val="CETBodytext"/>
              <w:ind w:right="-1"/>
              <w:rPr>
                <w:rFonts w:cs="Arial"/>
                <w:szCs w:val="18"/>
                <w:lang w:val="en-GB"/>
              </w:rPr>
            </w:pPr>
            <w:r w:rsidRPr="00BA7201">
              <w:rPr>
                <w:rFonts w:cs="Arial"/>
                <w:szCs w:val="18"/>
                <w:lang w:val="en-GB"/>
              </w:rPr>
              <w:t>Contractors' fee</w:t>
            </w:r>
          </w:p>
        </w:tc>
        <w:tc>
          <w:tcPr>
            <w:tcW w:w="4036" w:type="dxa"/>
            <w:shd w:val="clear" w:color="auto" w:fill="FFFFFF"/>
          </w:tcPr>
          <w:p w14:paraId="26BBC744" w14:textId="0B3E08E7" w:rsidR="00BA7201" w:rsidRPr="00B57B36" w:rsidRDefault="00626FA5" w:rsidP="00063397">
            <w:pPr>
              <w:pStyle w:val="CETBodytext"/>
              <w:ind w:right="-1"/>
              <w:rPr>
                <w:rFonts w:cs="Arial"/>
                <w:szCs w:val="18"/>
                <w:lang w:val="en-GB"/>
              </w:rPr>
            </w:pPr>
            <w:r>
              <w:rPr>
                <w:rFonts w:cs="Arial"/>
                <w:szCs w:val="18"/>
                <w:lang w:val="en-GB"/>
              </w:rPr>
              <w:t>149,553.</w:t>
            </w:r>
            <w:r w:rsidRPr="00626FA5">
              <w:rPr>
                <w:rFonts w:cs="Arial"/>
                <w:szCs w:val="18"/>
                <w:lang w:val="en-GB"/>
              </w:rPr>
              <w:t>10</w:t>
            </w:r>
          </w:p>
        </w:tc>
      </w:tr>
      <w:tr w:rsidR="00BA7201" w:rsidRPr="00B57B36" w14:paraId="78F9B7BF" w14:textId="77777777" w:rsidTr="00D2198C">
        <w:trPr>
          <w:trHeight w:val="174"/>
        </w:trPr>
        <w:tc>
          <w:tcPr>
            <w:tcW w:w="4036" w:type="dxa"/>
            <w:tcBorders>
              <w:bottom w:val="nil"/>
            </w:tcBorders>
            <w:shd w:val="clear" w:color="auto" w:fill="FFFFFF"/>
          </w:tcPr>
          <w:p w14:paraId="198FFDDF" w14:textId="026A02E8" w:rsidR="00BA7201" w:rsidRPr="00BA7201" w:rsidRDefault="00BA7201" w:rsidP="00063397">
            <w:pPr>
              <w:pStyle w:val="CETBodytext"/>
              <w:ind w:right="-1"/>
              <w:rPr>
                <w:rFonts w:cs="Arial"/>
                <w:szCs w:val="18"/>
                <w:lang w:val="en-GB"/>
              </w:rPr>
            </w:pPr>
            <w:r w:rsidRPr="00BA7201">
              <w:rPr>
                <w:rFonts w:cs="Arial"/>
                <w:szCs w:val="18"/>
                <w:lang w:val="en-GB"/>
              </w:rPr>
              <w:t>Contingency</w:t>
            </w:r>
          </w:p>
        </w:tc>
        <w:tc>
          <w:tcPr>
            <w:tcW w:w="4036" w:type="dxa"/>
            <w:tcBorders>
              <w:bottom w:val="nil"/>
            </w:tcBorders>
            <w:shd w:val="clear" w:color="auto" w:fill="FFFFFF"/>
          </w:tcPr>
          <w:p w14:paraId="440B1A38" w14:textId="2A7295D8" w:rsidR="00BA7201" w:rsidRPr="00B57B36" w:rsidRDefault="00626FA5" w:rsidP="00063397">
            <w:pPr>
              <w:pStyle w:val="CETBodytext"/>
              <w:ind w:right="-1"/>
              <w:rPr>
                <w:rFonts w:cs="Arial"/>
                <w:szCs w:val="18"/>
                <w:lang w:val="en-GB"/>
              </w:rPr>
            </w:pPr>
            <w:r>
              <w:rPr>
                <w:rFonts w:cs="Arial"/>
                <w:szCs w:val="18"/>
                <w:lang w:val="en-GB"/>
              </w:rPr>
              <w:t>277,464.</w:t>
            </w:r>
            <w:r w:rsidRPr="00626FA5">
              <w:rPr>
                <w:rFonts w:cs="Arial"/>
                <w:szCs w:val="18"/>
                <w:lang w:val="en-GB"/>
              </w:rPr>
              <w:t>00</w:t>
            </w:r>
          </w:p>
        </w:tc>
      </w:tr>
      <w:tr w:rsidR="00BA7201" w:rsidRPr="00B57B36" w14:paraId="254E9A4D" w14:textId="77777777" w:rsidTr="00851869">
        <w:trPr>
          <w:trHeight w:val="215"/>
        </w:trPr>
        <w:tc>
          <w:tcPr>
            <w:tcW w:w="4036" w:type="dxa"/>
            <w:tcBorders>
              <w:top w:val="nil"/>
              <w:bottom w:val="single" w:sz="4" w:space="0" w:color="4F6228" w:themeColor="accent3" w:themeShade="80"/>
            </w:tcBorders>
            <w:shd w:val="clear" w:color="auto" w:fill="FFFFFF"/>
          </w:tcPr>
          <w:p w14:paraId="3DCE1A4D" w14:textId="6C7DC4A3" w:rsidR="00BA7201" w:rsidRPr="00BA7201" w:rsidRDefault="00BA7201" w:rsidP="00063397">
            <w:pPr>
              <w:pStyle w:val="CETBodytext"/>
              <w:ind w:right="-1"/>
              <w:rPr>
                <w:rFonts w:cs="Arial"/>
                <w:b/>
                <w:szCs w:val="18"/>
                <w:lang w:val="en-GB"/>
              </w:rPr>
            </w:pPr>
            <w:r w:rsidRPr="00BA7201">
              <w:rPr>
                <w:rFonts w:cs="Arial"/>
                <w:b/>
                <w:szCs w:val="18"/>
                <w:lang w:val="en-GB"/>
              </w:rPr>
              <w:t>Total IFCI</w:t>
            </w:r>
          </w:p>
        </w:tc>
        <w:tc>
          <w:tcPr>
            <w:tcW w:w="4036" w:type="dxa"/>
            <w:tcBorders>
              <w:top w:val="nil"/>
              <w:bottom w:val="single" w:sz="4" w:space="0" w:color="4F6228" w:themeColor="accent3" w:themeShade="80"/>
            </w:tcBorders>
            <w:shd w:val="clear" w:color="auto" w:fill="FFFFFF"/>
          </w:tcPr>
          <w:p w14:paraId="26D3C58E" w14:textId="03BF26D5" w:rsidR="00BA7201" w:rsidRPr="00B57B36" w:rsidRDefault="00441B10" w:rsidP="00063397">
            <w:pPr>
              <w:pStyle w:val="CETBodytext"/>
              <w:ind w:right="-1"/>
              <w:rPr>
                <w:rFonts w:cs="Arial"/>
                <w:szCs w:val="18"/>
                <w:lang w:val="en-GB"/>
              </w:rPr>
            </w:pPr>
            <w:r>
              <w:rPr>
                <w:rFonts w:cs="Arial"/>
                <w:szCs w:val="18"/>
                <w:lang w:val="en-GB"/>
              </w:rPr>
              <w:t>1,647,858.</w:t>
            </w:r>
            <w:r w:rsidRPr="00441B10">
              <w:rPr>
                <w:rFonts w:cs="Arial"/>
                <w:szCs w:val="18"/>
                <w:lang w:val="en-GB"/>
              </w:rPr>
              <w:t>70</w:t>
            </w:r>
          </w:p>
        </w:tc>
      </w:tr>
      <w:tr w:rsidR="00BA7201" w:rsidRPr="00B57B36" w14:paraId="65F6D1BB" w14:textId="77777777" w:rsidTr="00851869">
        <w:trPr>
          <w:trHeight w:val="124"/>
        </w:trPr>
        <w:tc>
          <w:tcPr>
            <w:tcW w:w="4036" w:type="dxa"/>
            <w:tcBorders>
              <w:top w:val="single" w:sz="4" w:space="0" w:color="4F6228" w:themeColor="accent3" w:themeShade="80"/>
              <w:bottom w:val="nil"/>
            </w:tcBorders>
            <w:shd w:val="clear" w:color="auto" w:fill="FFFFFF"/>
          </w:tcPr>
          <w:p w14:paraId="2685D052" w14:textId="573E3B75" w:rsidR="00BA7201" w:rsidRPr="00BA7201" w:rsidRDefault="00BA7201" w:rsidP="00063397">
            <w:pPr>
              <w:pStyle w:val="CETBodytext"/>
              <w:ind w:right="-1"/>
              <w:rPr>
                <w:rFonts w:cs="Arial"/>
                <w:b/>
                <w:szCs w:val="18"/>
                <w:lang w:val="en-GB"/>
              </w:rPr>
            </w:pPr>
            <w:r w:rsidRPr="00BA7201">
              <w:rPr>
                <w:rFonts w:cs="Arial"/>
                <w:b/>
                <w:szCs w:val="18"/>
                <w:lang w:val="en-GB"/>
              </w:rPr>
              <w:t>Fixed capital investment (FCI)</w:t>
            </w:r>
          </w:p>
        </w:tc>
        <w:tc>
          <w:tcPr>
            <w:tcW w:w="4036" w:type="dxa"/>
            <w:tcBorders>
              <w:top w:val="single" w:sz="4" w:space="0" w:color="4F6228" w:themeColor="accent3" w:themeShade="80"/>
              <w:bottom w:val="nil"/>
            </w:tcBorders>
            <w:shd w:val="clear" w:color="auto" w:fill="FFFFFF"/>
          </w:tcPr>
          <w:p w14:paraId="7695A564" w14:textId="6F5561B6" w:rsidR="00BA7201" w:rsidRPr="00B57B36" w:rsidRDefault="00441B10" w:rsidP="00063397">
            <w:pPr>
              <w:pStyle w:val="CETBodytext"/>
              <w:ind w:right="-1"/>
              <w:rPr>
                <w:rFonts w:cs="Arial"/>
                <w:szCs w:val="18"/>
                <w:lang w:val="en-GB"/>
              </w:rPr>
            </w:pPr>
            <w:r>
              <w:rPr>
                <w:rFonts w:cs="Arial"/>
                <w:szCs w:val="18"/>
                <w:lang w:val="en-GB"/>
              </w:rPr>
              <w:t>3,</w:t>
            </w:r>
            <w:r w:rsidRPr="00441B10">
              <w:rPr>
                <w:rFonts w:cs="Arial"/>
                <w:szCs w:val="18"/>
                <w:lang w:val="en-GB"/>
              </w:rPr>
              <w:t>7</w:t>
            </w:r>
            <w:r>
              <w:rPr>
                <w:rFonts w:cs="Arial"/>
                <w:szCs w:val="18"/>
                <w:lang w:val="en-GB"/>
              </w:rPr>
              <w:t>84,331.</w:t>
            </w:r>
            <w:r w:rsidRPr="00441B10">
              <w:rPr>
                <w:rFonts w:cs="Arial"/>
                <w:szCs w:val="18"/>
                <w:lang w:val="en-GB"/>
              </w:rPr>
              <w:t>50</w:t>
            </w:r>
          </w:p>
        </w:tc>
      </w:tr>
      <w:tr w:rsidR="00BA7201" w:rsidRPr="00B57B36" w14:paraId="12118FDD" w14:textId="77777777" w:rsidTr="00851869">
        <w:trPr>
          <w:trHeight w:val="180"/>
        </w:trPr>
        <w:tc>
          <w:tcPr>
            <w:tcW w:w="4036" w:type="dxa"/>
            <w:tcBorders>
              <w:top w:val="nil"/>
              <w:bottom w:val="nil"/>
            </w:tcBorders>
            <w:shd w:val="clear" w:color="auto" w:fill="FFFFFF"/>
          </w:tcPr>
          <w:p w14:paraId="24029181" w14:textId="67037D04" w:rsidR="00BA7201" w:rsidRPr="00BA7201" w:rsidRDefault="00BA7201" w:rsidP="00063397">
            <w:pPr>
              <w:pStyle w:val="CETBodytext"/>
              <w:ind w:right="-1"/>
              <w:rPr>
                <w:rFonts w:cs="Arial"/>
                <w:szCs w:val="18"/>
                <w:lang w:val="en-GB"/>
              </w:rPr>
            </w:pPr>
            <w:r w:rsidRPr="00BA7201">
              <w:rPr>
                <w:rFonts w:cs="Arial"/>
                <w:szCs w:val="18"/>
                <w:lang w:val="en-GB"/>
              </w:rPr>
              <w:t>Working capital (WC)</w:t>
            </w:r>
          </w:p>
        </w:tc>
        <w:tc>
          <w:tcPr>
            <w:tcW w:w="4036" w:type="dxa"/>
            <w:tcBorders>
              <w:top w:val="nil"/>
              <w:bottom w:val="nil"/>
            </w:tcBorders>
            <w:shd w:val="clear" w:color="auto" w:fill="FFFFFF"/>
          </w:tcPr>
          <w:p w14:paraId="1194BC89" w14:textId="3FF0685C" w:rsidR="00BA7201" w:rsidRPr="00B57B36" w:rsidRDefault="00441B10" w:rsidP="00063397">
            <w:pPr>
              <w:pStyle w:val="CETBodytext"/>
              <w:ind w:right="-1"/>
              <w:rPr>
                <w:rFonts w:cs="Arial"/>
                <w:szCs w:val="18"/>
                <w:lang w:val="en-GB"/>
              </w:rPr>
            </w:pPr>
            <w:r>
              <w:rPr>
                <w:rFonts w:cs="Arial"/>
                <w:szCs w:val="18"/>
                <w:lang w:val="en-GB"/>
              </w:rPr>
              <w:t>2,270,598.</w:t>
            </w:r>
            <w:r w:rsidRPr="00441B10">
              <w:rPr>
                <w:rFonts w:cs="Arial"/>
                <w:szCs w:val="18"/>
                <w:lang w:val="en-GB"/>
              </w:rPr>
              <w:t>90</w:t>
            </w:r>
          </w:p>
        </w:tc>
      </w:tr>
      <w:tr w:rsidR="00BA7201" w:rsidRPr="00B57B36" w14:paraId="2D009778" w14:textId="77777777" w:rsidTr="00851869">
        <w:trPr>
          <w:trHeight w:val="84"/>
        </w:trPr>
        <w:tc>
          <w:tcPr>
            <w:tcW w:w="4036" w:type="dxa"/>
            <w:tcBorders>
              <w:top w:val="nil"/>
              <w:bottom w:val="single" w:sz="4" w:space="0" w:color="4F6228" w:themeColor="accent3" w:themeShade="80"/>
            </w:tcBorders>
            <w:shd w:val="clear" w:color="auto" w:fill="FFFFFF"/>
          </w:tcPr>
          <w:p w14:paraId="522FCA3A" w14:textId="3ED1AA80" w:rsidR="00BA7201" w:rsidRPr="00BA7201" w:rsidRDefault="004B4C93" w:rsidP="00063397">
            <w:pPr>
              <w:pStyle w:val="CETBodytext"/>
              <w:ind w:right="-1"/>
              <w:rPr>
                <w:rFonts w:cs="Arial"/>
                <w:szCs w:val="18"/>
                <w:lang w:val="en-GB"/>
              </w:rPr>
            </w:pPr>
            <w:proofErr w:type="spellStart"/>
            <w:r>
              <w:rPr>
                <w:rFonts w:cs="Arial"/>
                <w:szCs w:val="18"/>
                <w:lang w:val="en-GB"/>
              </w:rPr>
              <w:t>Startup</w:t>
            </w:r>
            <w:proofErr w:type="spellEnd"/>
            <w:r w:rsidR="00BA7201" w:rsidRPr="00BA7201">
              <w:rPr>
                <w:rFonts w:cs="Arial"/>
                <w:szCs w:val="18"/>
                <w:lang w:val="en-GB"/>
              </w:rPr>
              <w:t xml:space="preserve"> (SU)</w:t>
            </w:r>
          </w:p>
        </w:tc>
        <w:tc>
          <w:tcPr>
            <w:tcW w:w="4036" w:type="dxa"/>
            <w:tcBorders>
              <w:top w:val="nil"/>
              <w:bottom w:val="single" w:sz="4" w:space="0" w:color="4F6228" w:themeColor="accent3" w:themeShade="80"/>
            </w:tcBorders>
            <w:shd w:val="clear" w:color="auto" w:fill="FFFFFF"/>
          </w:tcPr>
          <w:p w14:paraId="0E6DFFF2" w14:textId="58809990" w:rsidR="00BA7201" w:rsidRPr="00B57B36" w:rsidRDefault="00441B10" w:rsidP="00063397">
            <w:pPr>
              <w:pStyle w:val="CETBodytext"/>
              <w:ind w:right="-1"/>
              <w:rPr>
                <w:rFonts w:cs="Arial"/>
                <w:szCs w:val="18"/>
                <w:lang w:val="en-GB"/>
              </w:rPr>
            </w:pPr>
            <w:r>
              <w:rPr>
                <w:rFonts w:cs="Arial"/>
                <w:szCs w:val="18"/>
                <w:lang w:val="en-GB"/>
              </w:rPr>
              <w:t>378,433.</w:t>
            </w:r>
            <w:r w:rsidRPr="00441B10">
              <w:rPr>
                <w:rFonts w:cs="Arial"/>
                <w:szCs w:val="18"/>
                <w:lang w:val="en-GB"/>
              </w:rPr>
              <w:t>15</w:t>
            </w:r>
          </w:p>
        </w:tc>
      </w:tr>
      <w:tr w:rsidR="00BA7201" w:rsidRPr="00B57B36" w14:paraId="48D008C3" w14:textId="77777777" w:rsidTr="00D2198C">
        <w:trPr>
          <w:trHeight w:val="70"/>
        </w:trPr>
        <w:tc>
          <w:tcPr>
            <w:tcW w:w="4036" w:type="dxa"/>
            <w:tcBorders>
              <w:top w:val="nil"/>
            </w:tcBorders>
            <w:shd w:val="clear" w:color="auto" w:fill="FFFFFF"/>
          </w:tcPr>
          <w:p w14:paraId="01767530" w14:textId="3701BB7E" w:rsidR="00BA7201" w:rsidRPr="00BA7201" w:rsidRDefault="00D2198C" w:rsidP="00063397">
            <w:pPr>
              <w:pStyle w:val="CETBodytext"/>
              <w:ind w:right="-1"/>
              <w:rPr>
                <w:rFonts w:cs="Arial"/>
                <w:b/>
                <w:szCs w:val="18"/>
                <w:lang w:val="en-GB"/>
              </w:rPr>
            </w:pPr>
            <w:r w:rsidRPr="00BA7201">
              <w:rPr>
                <w:rFonts w:cs="Arial"/>
                <w:b/>
                <w:szCs w:val="18"/>
                <w:lang w:val="en-GB"/>
              </w:rPr>
              <w:t>Total Capital Investment (TCI)</w:t>
            </w:r>
          </w:p>
        </w:tc>
        <w:tc>
          <w:tcPr>
            <w:tcW w:w="4036" w:type="dxa"/>
            <w:tcBorders>
              <w:top w:val="nil"/>
            </w:tcBorders>
            <w:shd w:val="clear" w:color="auto" w:fill="FFFFFF"/>
          </w:tcPr>
          <w:p w14:paraId="387A59B3" w14:textId="10045C36" w:rsidR="00BA7201" w:rsidRPr="00B57B36" w:rsidRDefault="00441B10" w:rsidP="00063397">
            <w:pPr>
              <w:pStyle w:val="CETBodytext"/>
              <w:ind w:right="-1"/>
              <w:rPr>
                <w:rFonts w:cs="Arial"/>
                <w:szCs w:val="18"/>
                <w:lang w:val="en-GB"/>
              </w:rPr>
            </w:pPr>
            <w:r>
              <w:rPr>
                <w:rFonts w:cs="Arial"/>
                <w:szCs w:val="18"/>
                <w:lang w:val="en-GB"/>
              </w:rPr>
              <w:t>6,433,363.</w:t>
            </w:r>
            <w:r w:rsidRPr="00441B10">
              <w:rPr>
                <w:rFonts w:cs="Arial"/>
                <w:szCs w:val="18"/>
                <w:lang w:val="en-GB"/>
              </w:rPr>
              <w:t>54</w:t>
            </w:r>
          </w:p>
        </w:tc>
      </w:tr>
    </w:tbl>
    <w:p w14:paraId="17D17F05" w14:textId="1D228155" w:rsidR="002F734D" w:rsidRDefault="002F734D" w:rsidP="00F771D3">
      <w:pPr>
        <w:pStyle w:val="CETBodytext"/>
      </w:pPr>
    </w:p>
    <w:p w14:paraId="4FC85080" w14:textId="028203BA" w:rsidR="009629E9" w:rsidRDefault="00A65255" w:rsidP="00F771D3">
      <w:pPr>
        <w:pStyle w:val="CETBodytext"/>
      </w:pPr>
      <w:r w:rsidRPr="00A65255">
        <w:t xml:space="preserve">Applying the equations set out in the materials and methods section, it is possible to obtain each of the values shown in the tables, </w:t>
      </w:r>
      <w:proofErr w:type="gramStart"/>
      <w:r w:rsidRPr="00A65255">
        <w:t>taking into account</w:t>
      </w:r>
      <w:proofErr w:type="gramEnd"/>
      <w:r w:rsidRPr="00A65255">
        <w:t xml:space="preserve"> the interest and income tax rate for the year in which the economic and tax evaluation is to be carried out. The working capital investment (WCI) is recoverable at the end of the project, as is required for short-term purposes.</w:t>
      </w:r>
    </w:p>
    <w:p w14:paraId="65624664" w14:textId="1A4E3899" w:rsidR="00292EDD" w:rsidRDefault="00292EDD" w:rsidP="00292EDD">
      <w:pPr>
        <w:pStyle w:val="CETheadingx"/>
      </w:pPr>
      <w:r w:rsidRPr="00292EDD">
        <w:t>Economic indicators</w:t>
      </w:r>
    </w:p>
    <w:p w14:paraId="1338629F" w14:textId="48C4B172" w:rsidR="00A4643F" w:rsidRPr="00B57B36" w:rsidRDefault="00A4643F" w:rsidP="00506E13">
      <w:pPr>
        <w:pStyle w:val="CETTabletitle"/>
      </w:pPr>
      <w:r w:rsidRPr="00B57B36">
        <w:t xml:space="preserve">Table </w:t>
      </w:r>
      <w:r w:rsidR="00506E13">
        <w:t>3</w:t>
      </w:r>
      <w:r w:rsidR="0051013B">
        <w:t xml:space="preserve">: </w:t>
      </w:r>
      <w:r w:rsidR="0051013B" w:rsidRPr="0051013B">
        <w:t>Economic indicators</w:t>
      </w:r>
      <w:r w:rsidR="0051013B">
        <w:t xml:space="preserve"> for </w:t>
      </w:r>
      <w:r w:rsidR="00375A90">
        <w:t>creole</w:t>
      </w:r>
      <w:r w:rsidR="0051013B">
        <w:t xml:space="preserve"> avocado oil </w:t>
      </w:r>
      <w:r w:rsidR="00375A90">
        <w:t xml:space="preserve">extraction </w:t>
      </w:r>
      <w:r w:rsidR="0051013B">
        <w:t xml:space="preserve">plant.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81"/>
        <w:gridCol w:w="4367"/>
      </w:tblGrid>
      <w:tr w:rsidR="00A4643F" w:rsidRPr="00B57B36" w14:paraId="2DF0E15D" w14:textId="77777777" w:rsidTr="00851869">
        <w:trPr>
          <w:trHeight w:val="199"/>
        </w:trPr>
        <w:tc>
          <w:tcPr>
            <w:tcW w:w="3881" w:type="dxa"/>
            <w:tcBorders>
              <w:top w:val="single" w:sz="12" w:space="0" w:color="008000"/>
              <w:bottom w:val="single" w:sz="6" w:space="0" w:color="008000"/>
            </w:tcBorders>
            <w:shd w:val="clear" w:color="auto" w:fill="FFFFFF"/>
          </w:tcPr>
          <w:p w14:paraId="752C18D8" w14:textId="45883989" w:rsidR="00A4643F" w:rsidRPr="00472C0E" w:rsidRDefault="00472C0E" w:rsidP="00063397">
            <w:pPr>
              <w:pStyle w:val="CETBodytext"/>
              <w:rPr>
                <w:b/>
                <w:lang w:val="en-GB"/>
              </w:rPr>
            </w:pPr>
            <w:r w:rsidRPr="00472C0E">
              <w:rPr>
                <w:b/>
                <w:lang w:val="en-GB"/>
              </w:rPr>
              <w:t>Costs of capital investment</w:t>
            </w:r>
          </w:p>
        </w:tc>
        <w:tc>
          <w:tcPr>
            <w:tcW w:w="4367" w:type="dxa"/>
            <w:tcBorders>
              <w:top w:val="single" w:sz="12" w:space="0" w:color="008000"/>
              <w:bottom w:val="single" w:sz="6" w:space="0" w:color="008000"/>
            </w:tcBorders>
            <w:shd w:val="clear" w:color="auto" w:fill="FFFFFF"/>
          </w:tcPr>
          <w:p w14:paraId="37C20151" w14:textId="22FC7C2C" w:rsidR="00A4643F" w:rsidRPr="00223E0D" w:rsidRDefault="00223E0D" w:rsidP="00063397">
            <w:pPr>
              <w:pStyle w:val="CETBodytext"/>
              <w:rPr>
                <w:b/>
                <w:lang w:val="en-GB"/>
              </w:rPr>
            </w:pPr>
            <w:r w:rsidRPr="00223E0D">
              <w:rPr>
                <w:b/>
                <w:lang w:val="en-GB"/>
              </w:rPr>
              <w:t>Total (US$)</w:t>
            </w:r>
          </w:p>
        </w:tc>
      </w:tr>
      <w:tr w:rsidR="00A4643F" w:rsidRPr="00B57B36" w14:paraId="04715DAA" w14:textId="77777777" w:rsidTr="00851869">
        <w:trPr>
          <w:trHeight w:val="89"/>
        </w:trPr>
        <w:tc>
          <w:tcPr>
            <w:tcW w:w="3881" w:type="dxa"/>
            <w:shd w:val="clear" w:color="auto" w:fill="FFFFFF"/>
          </w:tcPr>
          <w:p w14:paraId="0D0274A5" w14:textId="199EDE98" w:rsidR="00A4643F" w:rsidRPr="00B57B36" w:rsidRDefault="00472C0E" w:rsidP="00063397">
            <w:pPr>
              <w:pStyle w:val="CETBodytext"/>
              <w:rPr>
                <w:lang w:val="en-GB"/>
              </w:rPr>
            </w:pPr>
            <w:r w:rsidRPr="00472C0E">
              <w:rPr>
                <w:lang w:val="en-GB"/>
              </w:rPr>
              <w:t>Gross Profit (depreciation not included) (GP)</w:t>
            </w:r>
          </w:p>
        </w:tc>
        <w:tc>
          <w:tcPr>
            <w:tcW w:w="4367" w:type="dxa"/>
            <w:shd w:val="clear" w:color="auto" w:fill="FFFFFF"/>
          </w:tcPr>
          <w:p w14:paraId="324198D6" w14:textId="23CF2E23" w:rsidR="00A4643F" w:rsidRPr="00B57B36" w:rsidRDefault="00441B10" w:rsidP="00063397">
            <w:pPr>
              <w:pStyle w:val="CETBodytext"/>
              <w:rPr>
                <w:lang w:val="en-GB"/>
              </w:rPr>
            </w:pPr>
            <w:r>
              <w:rPr>
                <w:lang w:val="en-GB"/>
              </w:rPr>
              <w:t>5,245,216.</w:t>
            </w:r>
            <w:r w:rsidRPr="00441B10">
              <w:rPr>
                <w:lang w:val="en-GB"/>
              </w:rPr>
              <w:t>62</w:t>
            </w:r>
          </w:p>
        </w:tc>
      </w:tr>
      <w:tr w:rsidR="00A4643F" w:rsidRPr="00B57B36" w14:paraId="2F08AC7D" w14:textId="77777777" w:rsidTr="00851869">
        <w:trPr>
          <w:trHeight w:val="151"/>
        </w:trPr>
        <w:tc>
          <w:tcPr>
            <w:tcW w:w="3881" w:type="dxa"/>
            <w:shd w:val="clear" w:color="auto" w:fill="FFFFFF"/>
          </w:tcPr>
          <w:p w14:paraId="0C22E8AD" w14:textId="4B6DA4F8" w:rsidR="00A4643F" w:rsidRPr="00B57B36" w:rsidRDefault="00472C0E" w:rsidP="00063397">
            <w:pPr>
              <w:pStyle w:val="CETBodytext"/>
              <w:ind w:right="-1"/>
              <w:rPr>
                <w:rFonts w:cs="Arial"/>
                <w:szCs w:val="18"/>
                <w:lang w:val="en-GB"/>
              </w:rPr>
            </w:pPr>
            <w:r w:rsidRPr="00472C0E">
              <w:rPr>
                <w:rFonts w:cs="Arial"/>
                <w:szCs w:val="18"/>
                <w:lang w:val="en-GB"/>
              </w:rPr>
              <w:t>Gross Profit (depreciation included) (DGP)</w:t>
            </w:r>
          </w:p>
        </w:tc>
        <w:tc>
          <w:tcPr>
            <w:tcW w:w="4367" w:type="dxa"/>
            <w:shd w:val="clear" w:color="auto" w:fill="FFFFFF"/>
          </w:tcPr>
          <w:p w14:paraId="3244E4E1" w14:textId="789BD979" w:rsidR="00A4643F" w:rsidRPr="00B57B36" w:rsidRDefault="00441B10" w:rsidP="00063397">
            <w:pPr>
              <w:pStyle w:val="CETBodytext"/>
              <w:ind w:right="-1"/>
              <w:rPr>
                <w:rFonts w:cs="Arial"/>
                <w:szCs w:val="18"/>
                <w:lang w:val="en-GB"/>
              </w:rPr>
            </w:pPr>
            <w:r>
              <w:rPr>
                <w:rFonts w:cs="Arial"/>
                <w:szCs w:val="18"/>
                <w:lang w:val="en-GB"/>
              </w:rPr>
              <w:t>4,999,093.</w:t>
            </w:r>
            <w:r w:rsidRPr="00441B10">
              <w:rPr>
                <w:rFonts w:cs="Arial"/>
                <w:szCs w:val="18"/>
                <w:lang w:val="en-GB"/>
              </w:rPr>
              <w:t>72</w:t>
            </w:r>
          </w:p>
        </w:tc>
      </w:tr>
      <w:tr w:rsidR="00472C0E" w:rsidRPr="00B57B36" w14:paraId="34C67AB0" w14:textId="77777777" w:rsidTr="00851869">
        <w:trPr>
          <w:trHeight w:val="211"/>
        </w:trPr>
        <w:tc>
          <w:tcPr>
            <w:tcW w:w="3881" w:type="dxa"/>
            <w:shd w:val="clear" w:color="auto" w:fill="FFFFFF"/>
          </w:tcPr>
          <w:p w14:paraId="768B5F6F" w14:textId="6021E633" w:rsidR="00472C0E" w:rsidRPr="00472C0E" w:rsidRDefault="00472C0E" w:rsidP="00063397">
            <w:pPr>
              <w:pStyle w:val="CETBodytext"/>
              <w:ind w:right="-1"/>
              <w:rPr>
                <w:rFonts w:cs="Arial"/>
                <w:szCs w:val="18"/>
                <w:lang w:val="en-GB"/>
              </w:rPr>
            </w:pPr>
            <w:r w:rsidRPr="00472C0E">
              <w:rPr>
                <w:rFonts w:cs="Arial"/>
                <w:szCs w:val="18"/>
                <w:lang w:val="en-GB"/>
              </w:rPr>
              <w:t>Profit After Taxes (PAT)</w:t>
            </w:r>
          </w:p>
        </w:tc>
        <w:tc>
          <w:tcPr>
            <w:tcW w:w="4367" w:type="dxa"/>
            <w:shd w:val="clear" w:color="auto" w:fill="FFFFFF"/>
          </w:tcPr>
          <w:p w14:paraId="5BD92753" w14:textId="2A632E21" w:rsidR="00472C0E" w:rsidRPr="00B57B36" w:rsidRDefault="00441B10" w:rsidP="00063397">
            <w:pPr>
              <w:pStyle w:val="CETBodytext"/>
              <w:ind w:right="-1"/>
              <w:rPr>
                <w:rFonts w:cs="Arial"/>
                <w:szCs w:val="18"/>
                <w:lang w:val="en-GB"/>
              </w:rPr>
            </w:pPr>
            <w:r>
              <w:rPr>
                <w:rFonts w:cs="Arial"/>
                <w:szCs w:val="18"/>
                <w:lang w:val="en-GB"/>
              </w:rPr>
              <w:t>3.399,383.</w:t>
            </w:r>
            <w:r w:rsidRPr="00441B10">
              <w:rPr>
                <w:rFonts w:cs="Arial"/>
                <w:szCs w:val="18"/>
                <w:lang w:val="en-GB"/>
              </w:rPr>
              <w:t>73</w:t>
            </w:r>
          </w:p>
        </w:tc>
      </w:tr>
      <w:tr w:rsidR="00472C0E" w:rsidRPr="00B57B36" w14:paraId="2C7B120B" w14:textId="77777777" w:rsidTr="00851869">
        <w:trPr>
          <w:trHeight w:val="128"/>
        </w:trPr>
        <w:tc>
          <w:tcPr>
            <w:tcW w:w="3881" w:type="dxa"/>
            <w:shd w:val="clear" w:color="auto" w:fill="FFFFFF"/>
          </w:tcPr>
          <w:p w14:paraId="659D5E20" w14:textId="4FA33601" w:rsidR="00472C0E" w:rsidRPr="00472C0E" w:rsidRDefault="00472C0E" w:rsidP="00063397">
            <w:pPr>
              <w:pStyle w:val="CETBodytext"/>
              <w:ind w:right="-1"/>
              <w:rPr>
                <w:rFonts w:cs="Arial"/>
                <w:szCs w:val="18"/>
                <w:lang w:val="en-GB"/>
              </w:rPr>
            </w:pPr>
            <w:r w:rsidRPr="00472C0E">
              <w:rPr>
                <w:rFonts w:cs="Arial"/>
                <w:szCs w:val="18"/>
                <w:lang w:val="en-GB"/>
              </w:rPr>
              <w:t>Cumulative cash flow (CCF) (1/year)</w:t>
            </w:r>
          </w:p>
        </w:tc>
        <w:tc>
          <w:tcPr>
            <w:tcW w:w="4367" w:type="dxa"/>
            <w:shd w:val="clear" w:color="auto" w:fill="FFFFFF"/>
          </w:tcPr>
          <w:p w14:paraId="6130E982" w14:textId="281460D5" w:rsidR="00472C0E" w:rsidRPr="00B57B36" w:rsidRDefault="00441B10" w:rsidP="00063397">
            <w:pPr>
              <w:pStyle w:val="CETBodytext"/>
              <w:ind w:right="-1"/>
              <w:rPr>
                <w:rFonts w:cs="Arial"/>
                <w:szCs w:val="18"/>
                <w:lang w:val="en-GB"/>
              </w:rPr>
            </w:pPr>
            <w:r>
              <w:rPr>
                <w:rFonts w:cs="Arial"/>
                <w:szCs w:val="18"/>
                <w:lang w:val="en-GB"/>
              </w:rPr>
              <w:t>0.</w:t>
            </w:r>
            <w:r w:rsidRPr="00441B10">
              <w:rPr>
                <w:rFonts w:cs="Arial"/>
                <w:szCs w:val="18"/>
                <w:lang w:val="en-GB"/>
              </w:rPr>
              <w:t>81</w:t>
            </w:r>
          </w:p>
        </w:tc>
      </w:tr>
      <w:tr w:rsidR="00472C0E" w:rsidRPr="00B57B36" w14:paraId="22633E44" w14:textId="77777777" w:rsidTr="00851869">
        <w:trPr>
          <w:trHeight w:val="174"/>
        </w:trPr>
        <w:tc>
          <w:tcPr>
            <w:tcW w:w="3881" w:type="dxa"/>
            <w:shd w:val="clear" w:color="auto" w:fill="FFFFFF"/>
          </w:tcPr>
          <w:p w14:paraId="0514A690" w14:textId="1A14C865" w:rsidR="00472C0E" w:rsidRPr="00472C0E" w:rsidRDefault="00472C0E" w:rsidP="00063397">
            <w:pPr>
              <w:pStyle w:val="CETBodytext"/>
              <w:ind w:right="-1"/>
              <w:rPr>
                <w:rFonts w:cs="Arial"/>
                <w:szCs w:val="18"/>
                <w:lang w:val="en-GB"/>
              </w:rPr>
            </w:pPr>
            <w:r w:rsidRPr="00472C0E">
              <w:rPr>
                <w:rFonts w:cs="Arial"/>
                <w:szCs w:val="18"/>
                <w:lang w:val="en-GB"/>
              </w:rPr>
              <w:t>Payback period (PBP) (years)</w:t>
            </w:r>
          </w:p>
        </w:tc>
        <w:tc>
          <w:tcPr>
            <w:tcW w:w="4367" w:type="dxa"/>
            <w:shd w:val="clear" w:color="auto" w:fill="FFFFFF"/>
          </w:tcPr>
          <w:p w14:paraId="04469232" w14:textId="54B02641" w:rsidR="00472C0E" w:rsidRPr="00B57B36" w:rsidRDefault="00441B10" w:rsidP="00063397">
            <w:pPr>
              <w:pStyle w:val="CETBodytext"/>
              <w:ind w:right="-1"/>
              <w:rPr>
                <w:rFonts w:cs="Arial"/>
                <w:szCs w:val="18"/>
                <w:lang w:val="en-GB"/>
              </w:rPr>
            </w:pPr>
            <w:r>
              <w:rPr>
                <w:rFonts w:cs="Arial"/>
                <w:szCs w:val="18"/>
                <w:lang w:val="en-GB"/>
              </w:rPr>
              <w:t>1.</w:t>
            </w:r>
            <w:r w:rsidRPr="00441B10">
              <w:rPr>
                <w:rFonts w:cs="Arial"/>
                <w:szCs w:val="18"/>
                <w:lang w:val="en-GB"/>
              </w:rPr>
              <w:t>11</w:t>
            </w:r>
          </w:p>
        </w:tc>
      </w:tr>
      <w:tr w:rsidR="00472C0E" w:rsidRPr="00B57B36" w14:paraId="397C3895" w14:textId="77777777" w:rsidTr="00851869">
        <w:trPr>
          <w:trHeight w:val="233"/>
        </w:trPr>
        <w:tc>
          <w:tcPr>
            <w:tcW w:w="3881" w:type="dxa"/>
            <w:shd w:val="clear" w:color="auto" w:fill="FFFFFF"/>
          </w:tcPr>
          <w:p w14:paraId="3988B77A" w14:textId="0A5EC5BB" w:rsidR="00472C0E" w:rsidRPr="00472C0E" w:rsidRDefault="00472C0E" w:rsidP="00063397">
            <w:pPr>
              <w:pStyle w:val="CETBodytext"/>
              <w:ind w:right="-1"/>
              <w:rPr>
                <w:rFonts w:cs="Arial"/>
                <w:szCs w:val="18"/>
                <w:lang w:val="en-GB"/>
              </w:rPr>
            </w:pPr>
            <w:r w:rsidRPr="00472C0E">
              <w:rPr>
                <w:rFonts w:cs="Arial"/>
                <w:szCs w:val="18"/>
                <w:lang w:val="en-GB"/>
              </w:rPr>
              <w:t>Discounted payback period (DPBP) (years)</w:t>
            </w:r>
          </w:p>
        </w:tc>
        <w:tc>
          <w:tcPr>
            <w:tcW w:w="4367" w:type="dxa"/>
            <w:shd w:val="clear" w:color="auto" w:fill="FFFFFF"/>
          </w:tcPr>
          <w:p w14:paraId="4CF3A134" w14:textId="2E83A51A" w:rsidR="00472C0E" w:rsidRPr="00B57B36" w:rsidRDefault="00441B10" w:rsidP="00063397">
            <w:pPr>
              <w:pStyle w:val="CETBodytext"/>
              <w:ind w:right="-1"/>
              <w:rPr>
                <w:rFonts w:cs="Arial"/>
                <w:szCs w:val="18"/>
                <w:lang w:val="en-GB"/>
              </w:rPr>
            </w:pPr>
            <w:r>
              <w:rPr>
                <w:rFonts w:cs="Arial"/>
                <w:szCs w:val="18"/>
                <w:lang w:val="en-GB"/>
              </w:rPr>
              <w:t>5.</w:t>
            </w:r>
            <w:r w:rsidRPr="00441B10">
              <w:rPr>
                <w:rFonts w:cs="Arial"/>
                <w:szCs w:val="18"/>
                <w:lang w:val="en-GB"/>
              </w:rPr>
              <w:t>81</w:t>
            </w:r>
          </w:p>
        </w:tc>
      </w:tr>
      <w:tr w:rsidR="00472C0E" w:rsidRPr="00B57B36" w14:paraId="433EC3E0" w14:textId="77777777" w:rsidTr="00851869">
        <w:trPr>
          <w:trHeight w:val="152"/>
        </w:trPr>
        <w:tc>
          <w:tcPr>
            <w:tcW w:w="3881" w:type="dxa"/>
            <w:tcBorders>
              <w:bottom w:val="nil"/>
            </w:tcBorders>
            <w:shd w:val="clear" w:color="auto" w:fill="FFFFFF"/>
          </w:tcPr>
          <w:p w14:paraId="7FAFD6E6" w14:textId="21D0E96D" w:rsidR="00472C0E" w:rsidRPr="00472C0E" w:rsidRDefault="00472C0E" w:rsidP="00063397">
            <w:pPr>
              <w:pStyle w:val="CETBodytext"/>
              <w:ind w:right="-1"/>
              <w:rPr>
                <w:rFonts w:cs="Arial"/>
                <w:szCs w:val="18"/>
                <w:lang w:val="en-GB"/>
              </w:rPr>
            </w:pPr>
            <w:r w:rsidRPr="00472C0E">
              <w:rPr>
                <w:rFonts w:cs="Arial"/>
                <w:szCs w:val="18"/>
                <w:lang w:val="en-GB"/>
              </w:rPr>
              <w:t>%ROI</w:t>
            </w:r>
          </w:p>
        </w:tc>
        <w:tc>
          <w:tcPr>
            <w:tcW w:w="4367" w:type="dxa"/>
            <w:tcBorders>
              <w:bottom w:val="nil"/>
            </w:tcBorders>
            <w:shd w:val="clear" w:color="auto" w:fill="FFFFFF"/>
          </w:tcPr>
          <w:p w14:paraId="17D43696" w14:textId="209FDDE7" w:rsidR="00472C0E" w:rsidRPr="00B57B36" w:rsidRDefault="00441B10" w:rsidP="00063397">
            <w:pPr>
              <w:pStyle w:val="CETBodytext"/>
              <w:ind w:right="-1"/>
              <w:rPr>
                <w:rFonts w:cs="Arial"/>
                <w:szCs w:val="18"/>
                <w:lang w:val="en-GB"/>
              </w:rPr>
            </w:pPr>
            <w:r>
              <w:rPr>
                <w:rFonts w:cs="Arial"/>
                <w:szCs w:val="18"/>
                <w:lang w:val="en-GB"/>
              </w:rPr>
              <w:t>52.</w:t>
            </w:r>
            <w:r w:rsidR="00223E0D">
              <w:rPr>
                <w:rFonts w:cs="Arial"/>
                <w:szCs w:val="18"/>
                <w:lang w:val="en-GB"/>
              </w:rPr>
              <w:t>84</w:t>
            </w:r>
          </w:p>
        </w:tc>
      </w:tr>
      <w:tr w:rsidR="00472C0E" w:rsidRPr="00B57B36" w14:paraId="54438CD4" w14:textId="77777777" w:rsidTr="00851869">
        <w:trPr>
          <w:trHeight w:val="198"/>
        </w:trPr>
        <w:tc>
          <w:tcPr>
            <w:tcW w:w="3881" w:type="dxa"/>
            <w:tcBorders>
              <w:top w:val="nil"/>
              <w:bottom w:val="single" w:sz="4" w:space="0" w:color="4F6228" w:themeColor="accent3" w:themeShade="80"/>
            </w:tcBorders>
            <w:shd w:val="clear" w:color="auto" w:fill="FFFFFF"/>
          </w:tcPr>
          <w:p w14:paraId="4A166CE7" w14:textId="03326D5D" w:rsidR="00472C0E" w:rsidRPr="00472C0E" w:rsidRDefault="00472C0E" w:rsidP="00063397">
            <w:pPr>
              <w:pStyle w:val="CETBodytext"/>
              <w:ind w:right="-1"/>
              <w:rPr>
                <w:rFonts w:cs="Arial"/>
                <w:szCs w:val="18"/>
                <w:lang w:val="en-GB"/>
              </w:rPr>
            </w:pPr>
            <w:r w:rsidRPr="00472C0E">
              <w:rPr>
                <w:rFonts w:cs="Arial"/>
                <w:szCs w:val="18"/>
                <w:lang w:val="en-GB"/>
              </w:rPr>
              <w:t>NPV (MM$)</w:t>
            </w:r>
          </w:p>
        </w:tc>
        <w:tc>
          <w:tcPr>
            <w:tcW w:w="4367" w:type="dxa"/>
            <w:tcBorders>
              <w:top w:val="nil"/>
              <w:bottom w:val="single" w:sz="4" w:space="0" w:color="4F6228" w:themeColor="accent3" w:themeShade="80"/>
            </w:tcBorders>
            <w:shd w:val="clear" w:color="auto" w:fill="FFFFFF"/>
          </w:tcPr>
          <w:p w14:paraId="595CB2C8" w14:textId="0A1F3674" w:rsidR="00472C0E" w:rsidRPr="00B57B36" w:rsidRDefault="00441B10" w:rsidP="00063397">
            <w:pPr>
              <w:pStyle w:val="CETBodytext"/>
              <w:ind w:right="-1"/>
              <w:rPr>
                <w:rFonts w:cs="Arial"/>
                <w:szCs w:val="18"/>
                <w:lang w:val="en-GB"/>
              </w:rPr>
            </w:pPr>
            <w:r>
              <w:rPr>
                <w:rFonts w:cs="Arial"/>
                <w:szCs w:val="18"/>
                <w:lang w:val="en-GB"/>
              </w:rPr>
              <w:t>74.</w:t>
            </w:r>
            <w:r w:rsidRPr="00441B10">
              <w:rPr>
                <w:rFonts w:cs="Arial"/>
                <w:szCs w:val="18"/>
                <w:lang w:val="en-GB"/>
              </w:rPr>
              <w:t>00</w:t>
            </w:r>
          </w:p>
        </w:tc>
      </w:tr>
      <w:tr w:rsidR="00A577D3" w:rsidRPr="00B57B36" w14:paraId="1F31B6D9" w14:textId="77777777" w:rsidTr="00851869">
        <w:trPr>
          <w:trHeight w:val="92"/>
        </w:trPr>
        <w:tc>
          <w:tcPr>
            <w:tcW w:w="3881" w:type="dxa"/>
            <w:tcBorders>
              <w:top w:val="single" w:sz="4" w:space="0" w:color="4F6228" w:themeColor="accent3" w:themeShade="80"/>
              <w:bottom w:val="single" w:sz="4" w:space="0" w:color="4F6228" w:themeColor="accent3" w:themeShade="80"/>
            </w:tcBorders>
            <w:shd w:val="clear" w:color="auto" w:fill="FFFFFF"/>
          </w:tcPr>
          <w:p w14:paraId="10A1A288" w14:textId="7682BC06" w:rsidR="00A577D3" w:rsidRPr="00472C0E" w:rsidRDefault="00A577D3" w:rsidP="00851869">
            <w:pPr>
              <w:pStyle w:val="CETBodytext"/>
              <w:ind w:right="-1"/>
              <w:rPr>
                <w:rFonts w:cs="Arial"/>
                <w:szCs w:val="18"/>
                <w:lang w:val="en-GB"/>
              </w:rPr>
            </w:pPr>
            <w:r w:rsidRPr="00A577D3">
              <w:rPr>
                <w:rFonts w:cs="Arial"/>
                <w:b/>
                <w:szCs w:val="18"/>
                <w:lang w:val="en-GB"/>
              </w:rPr>
              <w:t>Annual cost/Revenue</w:t>
            </w:r>
            <w:r w:rsidRPr="00A577D3">
              <w:rPr>
                <w:rFonts w:cs="Arial"/>
                <w:szCs w:val="18"/>
                <w:lang w:val="en-GB"/>
              </w:rPr>
              <w:t xml:space="preserve">     </w:t>
            </w:r>
            <w:r w:rsidR="00851869">
              <w:rPr>
                <w:rFonts w:cs="Arial"/>
                <w:szCs w:val="18"/>
                <w:lang w:val="en-GB"/>
              </w:rPr>
              <w:t xml:space="preserve">                              </w:t>
            </w:r>
          </w:p>
        </w:tc>
        <w:tc>
          <w:tcPr>
            <w:tcW w:w="4367" w:type="dxa"/>
            <w:tcBorders>
              <w:top w:val="single" w:sz="4" w:space="0" w:color="4F6228" w:themeColor="accent3" w:themeShade="80"/>
              <w:bottom w:val="single" w:sz="4" w:space="0" w:color="4F6228" w:themeColor="accent3" w:themeShade="80"/>
            </w:tcBorders>
            <w:shd w:val="clear" w:color="auto" w:fill="FFFFFF"/>
          </w:tcPr>
          <w:p w14:paraId="23E4E4FE" w14:textId="2DCB0039" w:rsidR="00A577D3" w:rsidRDefault="00851869" w:rsidP="00063397">
            <w:pPr>
              <w:pStyle w:val="CETBodytext"/>
              <w:ind w:right="-1"/>
              <w:rPr>
                <w:rFonts w:cs="Arial"/>
                <w:szCs w:val="18"/>
                <w:lang w:val="en-GB"/>
              </w:rPr>
            </w:pPr>
            <w:r>
              <w:rPr>
                <w:rFonts w:cs="Arial"/>
                <w:szCs w:val="18"/>
                <w:lang w:val="en-GB"/>
              </w:rPr>
              <w:t>8.80</w:t>
            </w:r>
          </w:p>
        </w:tc>
      </w:tr>
    </w:tbl>
    <w:p w14:paraId="1000F392" w14:textId="40351834" w:rsidR="00A4643F" w:rsidRDefault="00A577D3" w:rsidP="00A577D3">
      <w:pPr>
        <w:pStyle w:val="CETBodytext"/>
        <w:tabs>
          <w:tab w:val="clear" w:pos="7100"/>
          <w:tab w:val="left" w:pos="3907"/>
        </w:tabs>
      </w:pPr>
      <w:r>
        <w:tab/>
      </w:r>
    </w:p>
    <w:p w14:paraId="2A3883D7" w14:textId="3DE3D053" w:rsidR="00A4643F" w:rsidRDefault="00EB3DC7" w:rsidP="00A4643F">
      <w:pPr>
        <w:pStyle w:val="CETBodytext"/>
      </w:pPr>
      <w:r w:rsidRPr="00D05387">
        <w:t>Results of techno-economic analysis for avocado oil production under specific assumptions are present in table 3;</w:t>
      </w:r>
      <w:r>
        <w:t xml:space="preserve"> </w:t>
      </w:r>
      <w:r w:rsidRPr="00D05387">
        <w:t xml:space="preserve">return on investment (ROI) is analogous to the interest rates of banks and the return on investment of </w:t>
      </w:r>
      <w:r w:rsidRPr="00D05387">
        <w:lastRenderedPageBreak/>
        <w:t>investments in financial markets, therefore, the larger the more attractive the project will be. Additionally, the Net present value was obtained, which cumulative value is adapted to reference time; present time can be considered as process operation incept</w:t>
      </w:r>
      <w:r>
        <w:t>ion (</w:t>
      </w:r>
      <w:proofErr w:type="spellStart"/>
      <w:r>
        <w:t>Alsuhaibani</w:t>
      </w:r>
      <w:proofErr w:type="spellEnd"/>
      <w:r>
        <w:t xml:space="preserve"> et al., 2020). </w:t>
      </w:r>
      <w:r w:rsidR="004B4C93">
        <w:t>The payback</w:t>
      </w:r>
      <w:r w:rsidR="00D05387" w:rsidRPr="00D05387">
        <w:t xml:space="preserve"> Period (PBP) is an indication of how quickly the project recovers the initial fixed capital investment; while the discounted payback period (DPBP) offers a more accurate estimate of the time required to recover the depreciable fixed capital investment (FCI) from the accumulated cash flows of the </w:t>
      </w:r>
      <w:r w:rsidR="00F92641" w:rsidRPr="00D05387">
        <w:t>project.</w:t>
      </w:r>
      <w:r w:rsidR="00D05387" w:rsidRPr="00D05387">
        <w:t xml:space="preserve"> An investment recovery period of 4.5 years was</w:t>
      </w:r>
      <w:r w:rsidR="00D05387">
        <w:t xml:space="preserve"> calculated</w:t>
      </w:r>
      <w:r w:rsidR="00D05387" w:rsidRPr="00D05387">
        <w:t xml:space="preserve"> in the study carried out for the production and commercialization of avocado oil for cosmetic use in Bogota city (Puentes et al., 2018); </w:t>
      </w:r>
      <w:r w:rsidR="004B4C93">
        <w:t xml:space="preserve">the </w:t>
      </w:r>
      <w:r w:rsidR="00D05387" w:rsidRPr="00D05387">
        <w:t xml:space="preserve">value that differs in a period greater than one year from what was found in this study. Besides, the NPV of both projects has a close value above $70,000,000; however, these projects use different extraction methods to obtain the avocado oil even though the purpose is the same, </w:t>
      </w:r>
      <w:r w:rsidR="004B4C93">
        <w:t xml:space="preserve">the </w:t>
      </w:r>
      <w:r w:rsidR="00D05387" w:rsidRPr="00D05387">
        <w:t>cosmetic industry.</w:t>
      </w:r>
      <w:r w:rsidR="00A05F35">
        <w:t xml:space="preserve"> </w:t>
      </w:r>
      <w:r w:rsidR="00A05F35" w:rsidRPr="00A05F35">
        <w:t>Figure 2a demonstrates NPV behavior over time, the process begins to have a positive net present value from year 7; after this period, it is possible to recover the investment from the project. If NPV started to be positive near the last period of the project, it would be more difficult to recover that expenditure.</w:t>
      </w:r>
    </w:p>
    <w:p w14:paraId="724732F8" w14:textId="05973231" w:rsidR="00E756C9" w:rsidRDefault="00E756C9" w:rsidP="00A4643F">
      <w:pPr>
        <w:pStyle w:val="CETBodytext"/>
      </w:pPr>
    </w:p>
    <w:p w14:paraId="146D471D" w14:textId="318C6CBA" w:rsidR="00705F5A" w:rsidRDefault="00705F5A" w:rsidP="00A4643F">
      <w:pPr>
        <w:pStyle w:val="CETBodytext"/>
      </w:pPr>
      <w:r>
        <w:rPr>
          <w:noProof/>
        </w:rPr>
        <w:drawing>
          <wp:inline distT="0" distB="0" distL="0" distR="0" wp14:anchorId="3BE5496B" wp14:editId="4A374C2A">
            <wp:extent cx="5541434" cy="197167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327" cy="2017536"/>
                    </a:xfrm>
                    <a:prstGeom prst="rect">
                      <a:avLst/>
                    </a:prstGeom>
                    <a:noFill/>
                  </pic:spPr>
                </pic:pic>
              </a:graphicData>
            </a:graphic>
          </wp:inline>
        </w:drawing>
      </w:r>
    </w:p>
    <w:p w14:paraId="5BD4987B" w14:textId="682DA325" w:rsidR="00705F5A" w:rsidRDefault="00240680" w:rsidP="007E3F46">
      <w:pPr>
        <w:pStyle w:val="CETCaption"/>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a</w:t>
      </w:r>
      <w:r w:rsidRPr="00240680">
        <w:rPr>
          <w:rStyle w:val="CETCaptionCarattere"/>
        </w:rPr>
        <w:t xml:space="preserve">) Net Present Value </w:t>
      </w:r>
      <w:r>
        <w:rPr>
          <w:rStyle w:val="CETCaptionCarattere"/>
        </w:rPr>
        <w:t xml:space="preserve">for </w:t>
      </w:r>
      <w:r w:rsidRPr="00240680">
        <w:rPr>
          <w:rStyle w:val="CETCaptionCarattere"/>
        </w:rPr>
        <w:t>oil production.</w:t>
      </w:r>
      <w:r>
        <w:rPr>
          <w:rStyle w:val="CETCaptionCarattere"/>
        </w:rPr>
        <w:t xml:space="preserve"> b</w:t>
      </w:r>
      <w:r w:rsidRPr="00240680">
        <w:rPr>
          <w:rStyle w:val="CETCaptionCarattere"/>
        </w:rPr>
        <w:t xml:space="preserve">) </w:t>
      </w:r>
      <w:r w:rsidR="009474D1">
        <w:rPr>
          <w:rStyle w:val="CETCaptionCarattere"/>
        </w:rPr>
        <w:t>Break-even</w:t>
      </w:r>
      <w:r w:rsidRPr="00240680">
        <w:rPr>
          <w:rStyle w:val="CETCaptionCarattere"/>
        </w:rPr>
        <w:t xml:space="preserve"> production capacity. </w:t>
      </w:r>
    </w:p>
    <w:p w14:paraId="30B9D1F6" w14:textId="418F1FBF" w:rsidR="00705F5A" w:rsidRDefault="0080554D" w:rsidP="00A4643F">
      <w:pPr>
        <w:pStyle w:val="CETBodytext"/>
      </w:pPr>
      <w:r w:rsidRPr="0080554D">
        <w:t xml:space="preserve">To assess how the process is affected by modifications in raw material expenses and sales price, an economic analysis was performed as represented in figure 2b; which shows the equilibrium production capacity for the avocado oil production process, for an installed capacity of 10,500 t/y. An equilibrium production </w:t>
      </w:r>
      <w:r w:rsidR="008D4291">
        <w:t>capacity close</w:t>
      </w:r>
      <w:r w:rsidRPr="0080554D">
        <w:t xml:space="preserve"> of 3,000 tons per year was obtained, represented by the intersection of the two lines. An installed capacity far from this intersection indicates that the process may face a decrease in its processing capacity due to low avocado production and that this will not cause significant </w:t>
      </w:r>
      <w:r w:rsidR="008D4291">
        <w:t>effects</w:t>
      </w:r>
      <w:r w:rsidRPr="0080554D">
        <w:t xml:space="preserve"> </w:t>
      </w:r>
      <w:r w:rsidR="008D4291">
        <w:t>on</w:t>
      </w:r>
      <w:r w:rsidRPr="0080554D">
        <w:t xml:space="preserve"> the process.</w:t>
      </w:r>
    </w:p>
    <w:p w14:paraId="68D26B83" w14:textId="77777777" w:rsidR="00600535" w:rsidRPr="00B57B36" w:rsidRDefault="00600535" w:rsidP="00600535">
      <w:pPr>
        <w:pStyle w:val="CETHeading1"/>
        <w:rPr>
          <w:lang w:val="en-GB"/>
        </w:rPr>
      </w:pPr>
      <w:r w:rsidRPr="00B57B36">
        <w:rPr>
          <w:lang w:val="en-GB"/>
        </w:rPr>
        <w:t>Conclusions</w:t>
      </w:r>
    </w:p>
    <w:p w14:paraId="5DBA85B0" w14:textId="0BF6DB70" w:rsidR="00BC2956" w:rsidRDefault="00860E1B" w:rsidP="00BC2956">
      <w:pPr>
        <w:pStyle w:val="CETBodytext"/>
        <w:rPr>
          <w:lang w:val="en-GB"/>
        </w:rPr>
      </w:pPr>
      <w:r>
        <w:rPr>
          <w:lang w:val="en-GB"/>
        </w:rPr>
        <w:t>C</w:t>
      </w:r>
      <w:r w:rsidR="00BC2956" w:rsidRPr="00BC2956">
        <w:rPr>
          <w:lang w:val="en-GB"/>
        </w:rPr>
        <w:t>onsidering a processing capacity of 10,500 t/y and main flow production of 1</w:t>
      </w:r>
      <w:r w:rsidR="008D4291">
        <w:rPr>
          <w:lang w:val="en-GB"/>
        </w:rPr>
        <w:t xml:space="preserve">,000.67 t/y; </w:t>
      </w:r>
      <w:r>
        <w:rPr>
          <w:lang w:val="en-GB"/>
        </w:rPr>
        <w:t>this study found that</w:t>
      </w:r>
      <w:r w:rsidR="00BC2956" w:rsidRPr="00BC2956">
        <w:rPr>
          <w:lang w:val="en-GB"/>
        </w:rPr>
        <w:t xml:space="preserve"> equipment cost </w:t>
      </w:r>
      <w:r>
        <w:rPr>
          <w:lang w:val="en-GB"/>
        </w:rPr>
        <w:t>is</w:t>
      </w:r>
      <w:r w:rsidR="00BC2956" w:rsidRPr="00BC2956">
        <w:rPr>
          <w:lang w:val="en-GB"/>
        </w:rPr>
        <w:t xml:space="preserve"> critical in the Direct Fixed Capital Investment calculation. The process is feasible from a technical and economic point of view since it is possible to operate the plant close to its maximum capacity.</w:t>
      </w:r>
      <w:r w:rsidR="00747549">
        <w:rPr>
          <w:lang w:val="en-GB"/>
        </w:rPr>
        <w:t xml:space="preserve"> </w:t>
      </w:r>
      <w:r w:rsidR="00BC2956" w:rsidRPr="00BC2956">
        <w:rPr>
          <w:lang w:val="en-GB"/>
        </w:rPr>
        <w:t>Total Capital Investment (TCI) was determined proximate to $ 6,433,363 USD and the process recovers the initial investment in abou</w:t>
      </w:r>
      <w:r w:rsidR="00BC2956">
        <w:rPr>
          <w:lang w:val="en-GB"/>
        </w:rPr>
        <w:t>t 6 years, with a positive N</w:t>
      </w:r>
      <w:r w:rsidR="00F92641">
        <w:rPr>
          <w:lang w:val="en-GB"/>
        </w:rPr>
        <w:t>P</w:t>
      </w:r>
      <w:r w:rsidR="00BC2956">
        <w:rPr>
          <w:lang w:val="en-GB"/>
        </w:rPr>
        <w:t xml:space="preserve">V </w:t>
      </w:r>
      <w:r w:rsidR="00BC2956" w:rsidRPr="00BC2956">
        <w:rPr>
          <w:lang w:val="en-GB"/>
        </w:rPr>
        <w:t xml:space="preserve">calculated at $ 74.00 USD. In addition, economic indicators aid to identify process </w:t>
      </w:r>
      <w:r w:rsidR="00BC2956" w:rsidRPr="007E3F46">
        <w:rPr>
          <w:lang w:val="en-GB"/>
        </w:rPr>
        <w:t xml:space="preserve">profitability, in this study was found a </w:t>
      </w:r>
      <w:proofErr w:type="spellStart"/>
      <w:r w:rsidR="004B4C93" w:rsidRPr="007E3F46">
        <w:rPr>
          <w:lang w:val="en-GB"/>
        </w:rPr>
        <w:t>favorable</w:t>
      </w:r>
      <w:proofErr w:type="spellEnd"/>
      <w:r w:rsidR="00BC2956" w:rsidRPr="007E3F46">
        <w:rPr>
          <w:lang w:val="en-GB"/>
        </w:rPr>
        <w:t xml:space="preserve"> Return of investment of 52.84 % and an extensive, cost-benefit ratio. </w:t>
      </w:r>
      <w:r w:rsidR="006078B2" w:rsidRPr="007E3F46">
        <w:rPr>
          <w:lang w:val="en-GB"/>
        </w:rPr>
        <w:t xml:space="preserve">The Antillean Creole avocado oil extraction plant will contribute to the recovery of the fruit and avoid those mature units from becoming waste. </w:t>
      </w:r>
      <w:r w:rsidR="00BC2956" w:rsidRPr="007E3F46">
        <w:rPr>
          <w:lang w:val="en-GB"/>
        </w:rPr>
        <w:t xml:space="preserve">It is recommended to assess a sensitivity analysis that studies the </w:t>
      </w:r>
      <w:proofErr w:type="spellStart"/>
      <w:r w:rsidR="004B4C93" w:rsidRPr="007E3F46">
        <w:rPr>
          <w:lang w:val="en-GB"/>
        </w:rPr>
        <w:t>behavior</w:t>
      </w:r>
      <w:proofErr w:type="spellEnd"/>
      <w:r w:rsidR="00BC2956" w:rsidRPr="007E3F46">
        <w:rPr>
          <w:lang w:val="en-GB"/>
        </w:rPr>
        <w:t xml:space="preserve"> of the process to the var</w:t>
      </w:r>
      <w:r w:rsidR="00AF12F6" w:rsidRPr="007E3F46">
        <w:rPr>
          <w:lang w:val="en-GB"/>
        </w:rPr>
        <w:t xml:space="preserve">iation of </w:t>
      </w:r>
      <w:r w:rsidR="00AF12F6">
        <w:rPr>
          <w:lang w:val="en-GB"/>
        </w:rPr>
        <w:t>the prices of the raw</w:t>
      </w:r>
      <w:r w:rsidR="006078B2">
        <w:rPr>
          <w:lang w:val="en-GB"/>
        </w:rPr>
        <w:t xml:space="preserve"> material</w:t>
      </w:r>
      <w:r w:rsidR="00AF12F6">
        <w:rPr>
          <w:lang w:val="en-GB"/>
        </w:rPr>
        <w:t xml:space="preserve">. </w:t>
      </w:r>
    </w:p>
    <w:p w14:paraId="3AE6A3E6" w14:textId="77777777" w:rsidR="0083633A" w:rsidRPr="00B57B36" w:rsidRDefault="0083633A" w:rsidP="0083633A">
      <w:pPr>
        <w:pStyle w:val="CETAcknowledgementstitle"/>
      </w:pPr>
      <w:r w:rsidRPr="00B57B36">
        <w:t>Acknowledgments</w:t>
      </w:r>
    </w:p>
    <w:p w14:paraId="6CB7B4CC" w14:textId="67D7DD21" w:rsidR="004B4C93" w:rsidRPr="00063A0E" w:rsidRDefault="004B4C93" w:rsidP="002939DB">
      <w:pPr>
        <w:pStyle w:val="CETBodytext"/>
      </w:pPr>
      <w:r w:rsidRPr="00063A0E">
        <w:t>Authors thank to University of Cartagena</w:t>
      </w:r>
      <w:r w:rsidR="00860E1B">
        <w:t xml:space="preserve"> and</w:t>
      </w:r>
      <w:r w:rsidRPr="00063A0E">
        <w:t xml:space="preserve"> the Colombian National Planning Department for the supply of equipment and software</w:t>
      </w:r>
      <w:r w:rsidR="002939DB">
        <w:t xml:space="preserve"> </w:t>
      </w:r>
      <w:r w:rsidRPr="00063A0E">
        <w:t>necessary to conclude successfully this work via Project BPIN Code 2020000100325.</w:t>
      </w:r>
    </w:p>
    <w:p w14:paraId="4F1327F8" w14:textId="2653475A" w:rsidR="00600535" w:rsidRPr="00E063AC" w:rsidRDefault="00600535" w:rsidP="0083633A">
      <w:pPr>
        <w:pStyle w:val="CETReference"/>
      </w:pPr>
      <w:r w:rsidRPr="00E063AC">
        <w:t>References</w:t>
      </w:r>
    </w:p>
    <w:p w14:paraId="0F4EA94B" w14:textId="0112925A" w:rsidR="000F3DF6" w:rsidRPr="0083633A" w:rsidRDefault="000F3DF6" w:rsidP="0083633A">
      <w:pPr>
        <w:pStyle w:val="CETReferencetext"/>
      </w:pPr>
      <w:proofErr w:type="spellStart"/>
      <w:r w:rsidRPr="002C3F33">
        <w:rPr>
          <w:lang w:val="en-US"/>
        </w:rPr>
        <w:t>Alsuhaibani</w:t>
      </w:r>
      <w:proofErr w:type="spellEnd"/>
      <w:r w:rsidRPr="002C3F33">
        <w:rPr>
          <w:lang w:val="en-US"/>
        </w:rPr>
        <w:t xml:space="preserve"> A., Afzal S., </w:t>
      </w:r>
      <w:proofErr w:type="spellStart"/>
      <w:r w:rsidRPr="002C3F33">
        <w:rPr>
          <w:lang w:val="en-US"/>
        </w:rPr>
        <w:t>Challiwala</w:t>
      </w:r>
      <w:proofErr w:type="spellEnd"/>
      <w:r w:rsidR="002C3F33" w:rsidRPr="002C3F33">
        <w:rPr>
          <w:lang w:val="en-US"/>
        </w:rPr>
        <w:t xml:space="preserve"> </w:t>
      </w:r>
      <w:r w:rsidRPr="002C3F33">
        <w:rPr>
          <w:lang w:val="en-US"/>
        </w:rPr>
        <w:t xml:space="preserve">M., </w:t>
      </w:r>
      <w:proofErr w:type="spellStart"/>
      <w:r w:rsidRPr="002C3F33">
        <w:rPr>
          <w:lang w:val="en-US"/>
        </w:rPr>
        <w:t>Elbashir</w:t>
      </w:r>
      <w:proofErr w:type="spellEnd"/>
      <w:r w:rsidR="002C3F33" w:rsidRPr="002C3F33">
        <w:rPr>
          <w:lang w:val="en-US"/>
        </w:rPr>
        <w:t xml:space="preserve"> </w:t>
      </w:r>
      <w:r w:rsidRPr="002C3F33">
        <w:rPr>
          <w:lang w:val="en-US"/>
        </w:rPr>
        <w:t>N., El-Halwagi</w:t>
      </w:r>
      <w:r w:rsidR="002C3F33" w:rsidRPr="002C3F33">
        <w:rPr>
          <w:lang w:val="en-US"/>
        </w:rPr>
        <w:t xml:space="preserve"> M</w:t>
      </w:r>
      <w:r w:rsidRPr="002C3F33">
        <w:rPr>
          <w:lang w:val="en-US"/>
        </w:rPr>
        <w:t>.</w:t>
      </w:r>
      <w:r w:rsidR="002C3F33" w:rsidRPr="002C3F33">
        <w:rPr>
          <w:lang w:val="en-US"/>
        </w:rPr>
        <w:t xml:space="preserve">, </w:t>
      </w:r>
      <w:r w:rsidRPr="002C3F33">
        <w:rPr>
          <w:lang w:val="en-US"/>
        </w:rPr>
        <w:t>2020</w:t>
      </w:r>
      <w:r w:rsidR="002C3F33">
        <w:rPr>
          <w:lang w:val="en-US"/>
        </w:rPr>
        <w:t>,</w:t>
      </w:r>
      <w:r w:rsidRPr="002C3F33">
        <w:rPr>
          <w:lang w:val="en-US"/>
        </w:rPr>
        <w:t xml:space="preserve"> </w:t>
      </w:r>
      <w:r w:rsidRPr="0083633A">
        <w:t>The impact of the development of catalyst and reaction system of the methanol synthesis stage on the overall profitability of the entire plant: A techno-economic study</w:t>
      </w:r>
      <w:r w:rsidR="00611521">
        <w:t xml:space="preserve">, </w:t>
      </w:r>
      <w:r w:rsidRPr="0083633A">
        <w:t xml:space="preserve">Catalysis Today, 343, 191–198. </w:t>
      </w:r>
    </w:p>
    <w:p w14:paraId="57C14AC8" w14:textId="4E10C07F" w:rsidR="000F3DF6" w:rsidRPr="00611521" w:rsidRDefault="000F3DF6" w:rsidP="0083633A">
      <w:pPr>
        <w:pStyle w:val="CETReferencetext"/>
        <w:rPr>
          <w:lang w:val="es-CO"/>
        </w:rPr>
      </w:pPr>
      <w:r w:rsidRPr="00611521">
        <w:rPr>
          <w:lang w:val="en-US"/>
        </w:rPr>
        <w:lastRenderedPageBreak/>
        <w:t>Ariza A., López</w:t>
      </w:r>
      <w:r w:rsidR="00611521" w:rsidRPr="00611521">
        <w:rPr>
          <w:lang w:val="en-US"/>
        </w:rPr>
        <w:t xml:space="preserve"> </w:t>
      </w:r>
      <w:r w:rsidRPr="00611521">
        <w:rPr>
          <w:lang w:val="en-US"/>
        </w:rPr>
        <w:t xml:space="preserve">F., </w:t>
      </w:r>
      <w:proofErr w:type="spellStart"/>
      <w:r w:rsidRPr="00611521">
        <w:rPr>
          <w:lang w:val="en-US"/>
        </w:rPr>
        <w:t>Coyotl</w:t>
      </w:r>
      <w:proofErr w:type="spellEnd"/>
      <w:r w:rsidRPr="00611521">
        <w:rPr>
          <w:lang w:val="en-US"/>
        </w:rPr>
        <w:t xml:space="preserve"> J., Ramos</w:t>
      </w:r>
      <w:r w:rsidR="00611521" w:rsidRPr="00611521">
        <w:rPr>
          <w:lang w:val="en-US"/>
        </w:rPr>
        <w:t xml:space="preserve"> </w:t>
      </w:r>
      <w:r w:rsidRPr="00611521">
        <w:rPr>
          <w:lang w:val="en-US"/>
        </w:rPr>
        <w:t>E., Díaz J., Martínez</w:t>
      </w:r>
      <w:r w:rsidR="003F50E2" w:rsidRPr="00611521">
        <w:rPr>
          <w:lang w:val="en-US"/>
        </w:rPr>
        <w:t xml:space="preserve"> A</w:t>
      </w:r>
      <w:r w:rsidRPr="00611521">
        <w:rPr>
          <w:lang w:val="en-US"/>
        </w:rPr>
        <w:t>.</w:t>
      </w:r>
      <w:r w:rsidR="003F50E2" w:rsidRPr="00611521">
        <w:rPr>
          <w:lang w:val="en-US"/>
        </w:rPr>
        <w:t>,</w:t>
      </w:r>
      <w:r w:rsidRPr="00611521">
        <w:rPr>
          <w:lang w:val="en-US"/>
        </w:rPr>
        <w:t xml:space="preserve"> 2011</w:t>
      </w:r>
      <w:r w:rsidR="00611521">
        <w:rPr>
          <w:lang w:val="en-US"/>
        </w:rPr>
        <w:t>,</w:t>
      </w:r>
      <w:r w:rsidRPr="00611521">
        <w:rPr>
          <w:lang w:val="en-US"/>
        </w:rPr>
        <w:t xml:space="preserve"> </w:t>
      </w:r>
      <w:r w:rsidRPr="0083633A">
        <w:t>Effect of different extraction methods on the fatty acid profile in the avocado (</w:t>
      </w:r>
      <w:proofErr w:type="spellStart"/>
      <w:r w:rsidRPr="0083633A">
        <w:t>Persea</w:t>
      </w:r>
      <w:proofErr w:type="spellEnd"/>
      <w:r w:rsidRPr="0083633A">
        <w:t xml:space="preserve"> americana Mill. var. </w:t>
      </w:r>
      <w:r w:rsidRPr="00611521">
        <w:rPr>
          <w:lang w:val="es-CO"/>
        </w:rPr>
        <w:t xml:space="preserve">Hass) </w:t>
      </w:r>
      <w:proofErr w:type="spellStart"/>
      <w:r w:rsidRPr="00611521">
        <w:rPr>
          <w:lang w:val="es-CO"/>
        </w:rPr>
        <w:t>oil</w:t>
      </w:r>
      <w:proofErr w:type="spellEnd"/>
      <w:r w:rsidR="00611521" w:rsidRPr="00611521">
        <w:rPr>
          <w:lang w:val="es-CO"/>
        </w:rPr>
        <w:t xml:space="preserve">, </w:t>
      </w:r>
      <w:r w:rsidRPr="00611521">
        <w:rPr>
          <w:lang w:val="es-CO"/>
        </w:rPr>
        <w:t>Revista Venezolana de Ciencia y Tecnología de Alimentos, 2(2), 263–276.</w:t>
      </w:r>
    </w:p>
    <w:p w14:paraId="2D5EBEC3" w14:textId="00AB9B5F" w:rsidR="000F3DF6" w:rsidRPr="00611521" w:rsidRDefault="000F3DF6" w:rsidP="0083633A">
      <w:pPr>
        <w:pStyle w:val="CETReferencetext"/>
        <w:rPr>
          <w:lang w:val="es-CO"/>
        </w:rPr>
      </w:pPr>
      <w:r w:rsidRPr="00611521">
        <w:rPr>
          <w:lang w:val="es-CO"/>
        </w:rPr>
        <w:t>Buelvas G., Patiño</w:t>
      </w:r>
      <w:r w:rsidR="00611521">
        <w:rPr>
          <w:lang w:val="es-CO"/>
        </w:rPr>
        <w:t xml:space="preserve"> </w:t>
      </w:r>
      <w:r w:rsidRPr="00611521">
        <w:rPr>
          <w:lang w:val="es-CO"/>
        </w:rPr>
        <w:t>J., Cano Salazar J.</w:t>
      </w:r>
      <w:r w:rsidR="00611521">
        <w:rPr>
          <w:lang w:val="es-CO"/>
        </w:rPr>
        <w:t>,</w:t>
      </w:r>
      <w:r w:rsidRPr="00611521">
        <w:rPr>
          <w:lang w:val="es-CO"/>
        </w:rPr>
        <w:t xml:space="preserve"> 2012</w:t>
      </w:r>
      <w:r w:rsidR="00611521">
        <w:rPr>
          <w:lang w:val="es-CO"/>
        </w:rPr>
        <w:t>,</w:t>
      </w:r>
      <w:r w:rsidRPr="00611521">
        <w:rPr>
          <w:lang w:val="es-CO"/>
        </w:rPr>
        <w:t xml:space="preserve"> Evaluación del proceso de extracción de aceite de aguacate </w:t>
      </w:r>
      <w:proofErr w:type="spellStart"/>
      <w:r w:rsidRPr="00611521">
        <w:rPr>
          <w:lang w:val="es-CO"/>
        </w:rPr>
        <w:t>hass</w:t>
      </w:r>
      <w:proofErr w:type="spellEnd"/>
      <w:r w:rsidRPr="00611521">
        <w:rPr>
          <w:lang w:val="es-CO"/>
        </w:rPr>
        <w:t xml:space="preserve"> (</w:t>
      </w:r>
      <w:proofErr w:type="spellStart"/>
      <w:r w:rsidRPr="00611521">
        <w:rPr>
          <w:lang w:val="es-CO"/>
        </w:rPr>
        <w:t>Persea</w:t>
      </w:r>
      <w:proofErr w:type="spellEnd"/>
      <w:r w:rsidRPr="00611521">
        <w:rPr>
          <w:lang w:val="es-CO"/>
        </w:rPr>
        <w:t xml:space="preserve"> americana Mill) utilizando tratamiento enzimático</w:t>
      </w:r>
      <w:r w:rsidR="00611521">
        <w:rPr>
          <w:lang w:val="es-CO"/>
        </w:rPr>
        <w:t xml:space="preserve">, </w:t>
      </w:r>
      <w:r w:rsidRPr="00611521">
        <w:rPr>
          <w:lang w:val="es-CO"/>
        </w:rPr>
        <w:t>http://repository.lasallista.edu.co/dspace//handle/10567/967</w:t>
      </w:r>
    </w:p>
    <w:p w14:paraId="26C90C18" w14:textId="51336EA9" w:rsidR="000F3DF6" w:rsidRPr="0083633A" w:rsidRDefault="000F3DF6" w:rsidP="0083633A">
      <w:pPr>
        <w:pStyle w:val="CETReferencetext"/>
      </w:pPr>
      <w:r w:rsidRPr="00611521">
        <w:rPr>
          <w:lang w:val="en-US"/>
        </w:rPr>
        <w:t>Cervantes B.,</w:t>
      </w:r>
      <w:r w:rsidR="00611521" w:rsidRPr="00611521">
        <w:rPr>
          <w:lang w:val="en-US"/>
        </w:rPr>
        <w:t xml:space="preserve"> </w:t>
      </w:r>
      <w:r w:rsidRPr="00611521">
        <w:rPr>
          <w:lang w:val="en-US"/>
        </w:rPr>
        <w:t>Yahia E.</w:t>
      </w:r>
      <w:r w:rsidR="00611521" w:rsidRPr="00611521">
        <w:rPr>
          <w:lang w:val="en-US"/>
        </w:rPr>
        <w:t>,</w:t>
      </w:r>
      <w:r w:rsidRPr="00611521">
        <w:rPr>
          <w:lang w:val="en-US"/>
        </w:rPr>
        <w:t xml:space="preserve"> 202</w:t>
      </w:r>
      <w:r w:rsidR="00611521">
        <w:rPr>
          <w:lang w:val="en-US"/>
        </w:rPr>
        <w:t>1,</w:t>
      </w:r>
      <w:r w:rsidRPr="00611521">
        <w:rPr>
          <w:lang w:val="en-US"/>
        </w:rPr>
        <w:t xml:space="preserve"> </w:t>
      </w:r>
      <w:r w:rsidRPr="0083633A">
        <w:t>Avocado oil: Production and market demand, bioactive components, implications in health, and tendencies and potential uses</w:t>
      </w:r>
      <w:r w:rsidR="00611521">
        <w:t>,</w:t>
      </w:r>
      <w:r w:rsidRPr="0083633A">
        <w:t xml:space="preserve"> Comprehensive Reviews in Food Science and Food Safety, 20(4), 4120–4158. https://doi.org/10.1111/1541-4337.12784</w:t>
      </w:r>
    </w:p>
    <w:p w14:paraId="09E1B29D" w14:textId="2357900A" w:rsidR="000F3DF6" w:rsidRPr="0083633A" w:rsidRDefault="000F3DF6" w:rsidP="0083633A">
      <w:pPr>
        <w:pStyle w:val="CETReferencetext"/>
      </w:pPr>
      <w:r w:rsidRPr="0083633A">
        <w:t>El-Halwagi</w:t>
      </w:r>
      <w:r w:rsidR="00611521">
        <w:t xml:space="preserve"> </w:t>
      </w:r>
      <w:r w:rsidRPr="0083633A">
        <w:t>M.</w:t>
      </w:r>
      <w:r w:rsidR="00611521">
        <w:t xml:space="preserve">, </w:t>
      </w:r>
      <w:r w:rsidRPr="0083633A">
        <w:t>2012</w:t>
      </w:r>
      <w:r w:rsidR="00611521">
        <w:t>,</w:t>
      </w:r>
      <w:r w:rsidRPr="0083633A">
        <w:t xml:space="preserve"> Sustainable Design Through Process Integration (1</w:t>
      </w:r>
      <w:r w:rsidR="00063A0E">
        <w:t>st</w:t>
      </w:r>
      <w:r w:rsidRPr="0083633A">
        <w:t xml:space="preserve"> Edition). 15–61.</w:t>
      </w:r>
    </w:p>
    <w:p w14:paraId="08B804F0" w14:textId="018363A0" w:rsidR="000F3DF6" w:rsidRPr="0083633A" w:rsidRDefault="000F3DF6" w:rsidP="0083633A">
      <w:pPr>
        <w:pStyle w:val="CETReferencetext"/>
      </w:pPr>
      <w:r w:rsidRPr="00611521">
        <w:rPr>
          <w:lang w:val="en-US"/>
        </w:rPr>
        <w:t>Herrera T., Parejo V.,</w:t>
      </w:r>
      <w:r w:rsidR="00611521" w:rsidRPr="00611521">
        <w:rPr>
          <w:lang w:val="en-US"/>
        </w:rPr>
        <w:t xml:space="preserve"> </w:t>
      </w:r>
      <w:r w:rsidRPr="00611521">
        <w:rPr>
          <w:lang w:val="en-US"/>
        </w:rPr>
        <w:t>González Á</w:t>
      </w:r>
      <w:r w:rsidR="00611521" w:rsidRPr="00611521">
        <w:rPr>
          <w:lang w:val="en-US"/>
        </w:rPr>
        <w:t xml:space="preserve">, </w:t>
      </w:r>
      <w:r w:rsidRPr="00611521">
        <w:rPr>
          <w:lang w:val="en-US"/>
        </w:rPr>
        <w:t>2018</w:t>
      </w:r>
      <w:r w:rsidR="00611521" w:rsidRPr="00611521">
        <w:rPr>
          <w:lang w:val="en-US"/>
        </w:rPr>
        <w:t>,</w:t>
      </w:r>
      <w:r w:rsidRPr="00611521">
        <w:rPr>
          <w:lang w:val="en-US"/>
        </w:rPr>
        <w:t xml:space="preserve"> </w:t>
      </w:r>
      <w:r w:rsidRPr="0083633A">
        <w:t>Technoeconomic Sensibility Analysis of Industrial Agar Production from Red Algae</w:t>
      </w:r>
      <w:r w:rsidR="00611521">
        <w:t>, Chemical Engineering Transactions</w:t>
      </w:r>
      <w:r w:rsidRPr="0083633A">
        <w:t>, 70. https://doi.org/10.3303/CET1870339</w:t>
      </w:r>
    </w:p>
    <w:p w14:paraId="64CFADCE" w14:textId="1FB9837F" w:rsidR="000F3DF6" w:rsidRPr="0083633A" w:rsidRDefault="000F3DF6" w:rsidP="0083633A">
      <w:pPr>
        <w:pStyle w:val="CETReferencetext"/>
      </w:pPr>
      <w:r w:rsidRPr="0083633A">
        <w:t>Liu Y., Gong X., Jing W., Lin</w:t>
      </w:r>
      <w:r w:rsidR="00560355">
        <w:t xml:space="preserve"> </w:t>
      </w:r>
      <w:r w:rsidRPr="0083633A">
        <w:t>L., Zhou W., He J.,</w:t>
      </w:r>
      <w:r w:rsidR="00560355">
        <w:t xml:space="preserve"> </w:t>
      </w:r>
      <w:r w:rsidRPr="0083633A">
        <w:t>Li</w:t>
      </w:r>
      <w:r w:rsidR="00560355">
        <w:t xml:space="preserve"> </w:t>
      </w:r>
      <w:r w:rsidRPr="0083633A">
        <w:t>J.</w:t>
      </w:r>
      <w:r w:rsidR="00560355">
        <w:t>,</w:t>
      </w:r>
      <w:r w:rsidRPr="0083633A">
        <w:t xml:space="preserve"> 202</w:t>
      </w:r>
      <w:r w:rsidR="00560355">
        <w:t xml:space="preserve">1, </w:t>
      </w:r>
      <w:r w:rsidRPr="0083633A">
        <w:t>Fast discrimination of avocado oil for different extracted methods using headspace-gas chromatography-ion mobility spectroscopy with PCA based on volatile organic compounds</w:t>
      </w:r>
      <w:r w:rsidR="00560355">
        <w:t xml:space="preserve">, </w:t>
      </w:r>
      <w:r w:rsidRPr="0083633A">
        <w:t>Open Chemistry, 19(1), 367–376. https://doi.org/10.1515/chem-2020-0125</w:t>
      </w:r>
    </w:p>
    <w:p w14:paraId="0E4BB74B" w14:textId="696555FE" w:rsidR="000F3DF6" w:rsidRPr="0083633A" w:rsidRDefault="00560355" w:rsidP="0083633A">
      <w:pPr>
        <w:pStyle w:val="CETReferencetext"/>
      </w:pPr>
      <w:r w:rsidRPr="00560355">
        <w:rPr>
          <w:lang w:val="en-US"/>
        </w:rPr>
        <w:t>López</w:t>
      </w:r>
      <w:r w:rsidR="000F3DF6" w:rsidRPr="00560355">
        <w:rPr>
          <w:lang w:val="en-US"/>
        </w:rPr>
        <w:t xml:space="preserve"> L., Gil J., Sierra A., </w:t>
      </w:r>
      <w:proofErr w:type="spellStart"/>
      <w:r w:rsidR="000F3DF6" w:rsidRPr="00560355">
        <w:rPr>
          <w:lang w:val="en-US"/>
        </w:rPr>
        <w:t>Hoyos</w:t>
      </w:r>
      <w:proofErr w:type="spellEnd"/>
      <w:r w:rsidR="000F3DF6" w:rsidRPr="00560355">
        <w:rPr>
          <w:lang w:val="en-US"/>
        </w:rPr>
        <w:t xml:space="preserve"> J.</w:t>
      </w:r>
      <w:r w:rsidRPr="00560355">
        <w:rPr>
          <w:lang w:val="en-US"/>
        </w:rPr>
        <w:t>,</w:t>
      </w:r>
      <w:r w:rsidR="000F3DF6" w:rsidRPr="00560355">
        <w:rPr>
          <w:lang w:val="en-US"/>
        </w:rPr>
        <w:t xml:space="preserve"> 2021</w:t>
      </w:r>
      <w:r w:rsidRPr="00560355">
        <w:rPr>
          <w:lang w:val="en-US"/>
        </w:rPr>
        <w:t>,</w:t>
      </w:r>
      <w:r w:rsidR="000F3DF6" w:rsidRPr="00560355">
        <w:rPr>
          <w:lang w:val="en-US"/>
        </w:rPr>
        <w:t xml:space="preserve"> </w:t>
      </w:r>
      <w:r w:rsidR="000F3DF6" w:rsidRPr="0083633A">
        <w:t>Hass avocado oil extraction: In the way of malaxation process optimization</w:t>
      </w:r>
      <w:r>
        <w:t xml:space="preserve">, </w:t>
      </w:r>
      <w:r w:rsidR="000F3DF6" w:rsidRPr="0083633A">
        <w:t>LWT, 152, 112312. https://doi.org/10.1016/j.lwt.2021.112312</w:t>
      </w:r>
    </w:p>
    <w:p w14:paraId="09C36A9A" w14:textId="510ABDD9" w:rsidR="000F3DF6" w:rsidRPr="0083633A" w:rsidRDefault="000F3DF6" w:rsidP="0083633A">
      <w:pPr>
        <w:pStyle w:val="CETReferencetext"/>
      </w:pPr>
      <w:proofErr w:type="spellStart"/>
      <w:r w:rsidRPr="00560355">
        <w:rPr>
          <w:lang w:val="en-US"/>
        </w:rPr>
        <w:t>Marsiglia</w:t>
      </w:r>
      <w:proofErr w:type="spellEnd"/>
      <w:r w:rsidRPr="00560355">
        <w:rPr>
          <w:lang w:val="en-US"/>
        </w:rPr>
        <w:t xml:space="preserve"> R., </w:t>
      </w:r>
      <w:proofErr w:type="spellStart"/>
      <w:r w:rsidR="00560355" w:rsidRPr="00560355">
        <w:rPr>
          <w:lang w:val="en-US"/>
        </w:rPr>
        <w:t>Torregrosa</w:t>
      </w:r>
      <w:proofErr w:type="spellEnd"/>
      <w:r w:rsidRPr="00560355">
        <w:rPr>
          <w:lang w:val="en-US"/>
        </w:rPr>
        <w:t xml:space="preserve"> E., Quintana</w:t>
      </w:r>
      <w:r w:rsidR="00560355" w:rsidRPr="00560355">
        <w:rPr>
          <w:lang w:val="en-US"/>
        </w:rPr>
        <w:t xml:space="preserve"> </w:t>
      </w:r>
      <w:r w:rsidRPr="00560355">
        <w:rPr>
          <w:lang w:val="en-US"/>
        </w:rPr>
        <w:t>S., Garc</w:t>
      </w:r>
      <w:r w:rsidR="00560355">
        <w:rPr>
          <w:lang w:val="en-US"/>
        </w:rPr>
        <w:t>í</w:t>
      </w:r>
      <w:r w:rsidRPr="00560355">
        <w:rPr>
          <w:lang w:val="en-US"/>
        </w:rPr>
        <w:t>a L</w:t>
      </w:r>
      <w:r w:rsidR="00560355" w:rsidRPr="00560355">
        <w:rPr>
          <w:lang w:val="en-US"/>
        </w:rPr>
        <w:t>,</w:t>
      </w:r>
      <w:r w:rsidRPr="00560355">
        <w:rPr>
          <w:lang w:val="en-US"/>
        </w:rPr>
        <w:t xml:space="preserve"> 2018</w:t>
      </w:r>
      <w:r w:rsidR="00560355">
        <w:rPr>
          <w:lang w:val="en-US"/>
        </w:rPr>
        <w:t xml:space="preserve">, </w:t>
      </w:r>
      <w:r w:rsidRPr="0083633A">
        <w:t>Application of geographic information systems for characterization of preharvest and postharvest factors of squash (</w:t>
      </w:r>
      <w:proofErr w:type="spellStart"/>
      <w:r w:rsidRPr="0083633A">
        <w:t>cucurbita</w:t>
      </w:r>
      <w:proofErr w:type="spellEnd"/>
      <w:r w:rsidRPr="0083633A">
        <w:t xml:space="preserve"> sp.) in Bolivar Department, Colombia</w:t>
      </w:r>
      <w:r w:rsidR="00560355">
        <w:t>,</w:t>
      </w:r>
      <w:r w:rsidR="00260279">
        <w:t xml:space="preserve"> </w:t>
      </w:r>
      <w:r w:rsidRPr="0083633A">
        <w:t>Indian Journal of Science and Technology,</w:t>
      </w:r>
      <w:r w:rsidR="00260279">
        <w:t xml:space="preserve"> </w:t>
      </w:r>
      <w:r w:rsidRPr="0083633A">
        <w:t>11(9), 1–10</w:t>
      </w:r>
      <w:r w:rsidR="00260279">
        <w:t xml:space="preserve">, </w:t>
      </w:r>
      <w:r w:rsidRPr="0083633A">
        <w:t>https://doi.org/10.17485/ijst/2018/v11i9/117914</w:t>
      </w:r>
    </w:p>
    <w:p w14:paraId="28DD4BD2" w14:textId="00B4B234" w:rsidR="000F3DF6" w:rsidRPr="006932AF" w:rsidRDefault="006932AF" w:rsidP="0083633A">
      <w:pPr>
        <w:pStyle w:val="CETReferencetext"/>
        <w:rPr>
          <w:lang w:val="es-CO"/>
        </w:rPr>
      </w:pPr>
      <w:r w:rsidRPr="00560355">
        <w:rPr>
          <w:lang w:val="es-CO"/>
        </w:rPr>
        <w:t>Martínez</w:t>
      </w:r>
      <w:r w:rsidR="000F3DF6" w:rsidRPr="00560355">
        <w:rPr>
          <w:lang w:val="es-CO"/>
        </w:rPr>
        <w:t xml:space="preserve"> L., </w:t>
      </w:r>
      <w:proofErr w:type="spellStart"/>
      <w:r w:rsidR="000F3DF6" w:rsidRPr="00560355">
        <w:rPr>
          <w:lang w:val="es-CO"/>
        </w:rPr>
        <w:t>Carnacho</w:t>
      </w:r>
      <w:proofErr w:type="spellEnd"/>
      <w:r w:rsidR="000F3DF6" w:rsidRPr="00560355">
        <w:rPr>
          <w:lang w:val="es-CO"/>
        </w:rPr>
        <w:t xml:space="preserve"> F., </w:t>
      </w:r>
      <w:r w:rsidRPr="00560355">
        <w:rPr>
          <w:lang w:val="es-CO"/>
        </w:rPr>
        <w:t>Rodríguez</w:t>
      </w:r>
      <w:r w:rsidR="000F3DF6" w:rsidRPr="00560355">
        <w:rPr>
          <w:lang w:val="es-CO"/>
        </w:rPr>
        <w:t xml:space="preserve"> S., Romero M</w:t>
      </w:r>
      <w:r w:rsidR="00560355">
        <w:rPr>
          <w:lang w:val="es-CO"/>
        </w:rPr>
        <w:t xml:space="preserve">, </w:t>
      </w:r>
      <w:r w:rsidR="000F3DF6" w:rsidRPr="00560355">
        <w:rPr>
          <w:lang w:val="es-CO"/>
        </w:rPr>
        <w:t>1988</w:t>
      </w:r>
      <w:r w:rsidR="00560355">
        <w:rPr>
          <w:lang w:val="es-CO"/>
        </w:rPr>
        <w:t xml:space="preserve">, </w:t>
      </w:r>
      <w:r>
        <w:rPr>
          <w:lang w:val="es-CO"/>
        </w:rPr>
        <w:t>E</w:t>
      </w:r>
      <w:r w:rsidRPr="00560355">
        <w:rPr>
          <w:lang w:val="es-CO"/>
        </w:rPr>
        <w:t>xtracción y caracterización del aceite de aguacate</w:t>
      </w:r>
      <w:r>
        <w:rPr>
          <w:lang w:val="es-CO"/>
        </w:rPr>
        <w:t xml:space="preserve">, </w:t>
      </w:r>
      <w:r w:rsidR="000F3DF6" w:rsidRPr="006932AF">
        <w:rPr>
          <w:lang w:val="es-CO"/>
        </w:rPr>
        <w:t>Grasas y Aceite, 39, 272–277. http://www.ugr.es/~fcamacho/Originales/Trabajos Publicados/GA1988.pdf</w:t>
      </w:r>
    </w:p>
    <w:p w14:paraId="4CB281C4" w14:textId="3353154A" w:rsidR="000F3DF6" w:rsidRPr="0083633A" w:rsidRDefault="000F3DF6" w:rsidP="0083633A">
      <w:pPr>
        <w:pStyle w:val="CETReferencetext"/>
      </w:pPr>
      <w:proofErr w:type="spellStart"/>
      <w:r w:rsidRPr="00EF7710">
        <w:rPr>
          <w:lang w:val="en-US"/>
        </w:rPr>
        <w:t>Mgoma</w:t>
      </w:r>
      <w:proofErr w:type="spellEnd"/>
      <w:r w:rsidR="00EF7710" w:rsidRPr="00EF7710">
        <w:rPr>
          <w:lang w:val="en-US"/>
        </w:rPr>
        <w:t xml:space="preserve"> </w:t>
      </w:r>
      <w:r w:rsidRPr="00EF7710">
        <w:rPr>
          <w:lang w:val="en-US"/>
        </w:rPr>
        <w:t xml:space="preserve">S, </w:t>
      </w:r>
      <w:proofErr w:type="spellStart"/>
      <w:r w:rsidRPr="00EF7710">
        <w:rPr>
          <w:lang w:val="en-US"/>
        </w:rPr>
        <w:t>Basitere</w:t>
      </w:r>
      <w:proofErr w:type="spellEnd"/>
      <w:r w:rsidR="00EF7710">
        <w:rPr>
          <w:lang w:val="en-US"/>
        </w:rPr>
        <w:t xml:space="preserve"> </w:t>
      </w:r>
      <w:r w:rsidRPr="00EF7710">
        <w:rPr>
          <w:lang w:val="en-US"/>
        </w:rPr>
        <w:t xml:space="preserve">M., </w:t>
      </w:r>
      <w:proofErr w:type="spellStart"/>
      <w:r w:rsidRPr="00EF7710">
        <w:rPr>
          <w:lang w:val="en-US"/>
        </w:rPr>
        <w:t>Mshayisa</w:t>
      </w:r>
      <w:proofErr w:type="spellEnd"/>
      <w:r w:rsidRPr="00EF7710">
        <w:rPr>
          <w:lang w:val="en-US"/>
        </w:rPr>
        <w:t xml:space="preserve"> V.</w:t>
      </w:r>
      <w:r w:rsidR="006932AF" w:rsidRPr="00EF7710">
        <w:rPr>
          <w:lang w:val="en-US"/>
        </w:rPr>
        <w:t>,</w:t>
      </w:r>
      <w:r w:rsidRPr="00EF7710">
        <w:rPr>
          <w:lang w:val="en-US"/>
        </w:rPr>
        <w:t xml:space="preserve"> 2021</w:t>
      </w:r>
      <w:r w:rsidR="00EF7710">
        <w:rPr>
          <w:lang w:val="en-US"/>
        </w:rPr>
        <w:t>m</w:t>
      </w:r>
      <w:r w:rsidRPr="00EF7710">
        <w:rPr>
          <w:lang w:val="en-US"/>
        </w:rPr>
        <w:t xml:space="preserve"> </w:t>
      </w:r>
      <w:r w:rsidRPr="0083633A">
        <w:t xml:space="preserve">Kinetics and thermodynamics of oil extraction from South African </w:t>
      </w:r>
      <w:proofErr w:type="spellStart"/>
      <w:r w:rsidRPr="0083633A">
        <w:t>hass</w:t>
      </w:r>
      <w:proofErr w:type="spellEnd"/>
      <w:r w:rsidRPr="0083633A">
        <w:t xml:space="preserve"> avocados using hexane as a solvent</w:t>
      </w:r>
      <w:r w:rsidR="00EF7710">
        <w:t>,</w:t>
      </w:r>
      <w:r w:rsidRPr="0083633A">
        <w:t xml:space="preserve"> South African Journal of Chemical Engineering, 37, 244–251. https://doi.org/10.1016/J.SAJCE.2021.06.007</w:t>
      </w:r>
    </w:p>
    <w:p w14:paraId="77292B2B" w14:textId="2E69445D" w:rsidR="000F3DF6" w:rsidRPr="00EF7710" w:rsidRDefault="000F3DF6" w:rsidP="0083633A">
      <w:pPr>
        <w:pStyle w:val="CETReferencetext"/>
        <w:rPr>
          <w:lang w:val="es-CO"/>
        </w:rPr>
      </w:pPr>
      <w:proofErr w:type="spellStart"/>
      <w:r w:rsidRPr="00EF7710">
        <w:rPr>
          <w:lang w:val="es-CO"/>
        </w:rPr>
        <w:t>Minagricultura</w:t>
      </w:r>
      <w:proofErr w:type="spellEnd"/>
      <w:r w:rsidR="00EF7710" w:rsidRPr="00EF7710">
        <w:rPr>
          <w:lang w:val="es-CO"/>
        </w:rPr>
        <w:t xml:space="preserve">, </w:t>
      </w:r>
      <w:r w:rsidRPr="00EF7710">
        <w:rPr>
          <w:lang w:val="es-CO"/>
        </w:rPr>
        <w:t>2020</w:t>
      </w:r>
      <w:r w:rsidR="00EF7710" w:rsidRPr="00EF7710">
        <w:rPr>
          <w:lang w:val="es-CO"/>
        </w:rPr>
        <w:t>,</w:t>
      </w:r>
      <w:r w:rsidRPr="00EF7710">
        <w:rPr>
          <w:lang w:val="es-CO"/>
        </w:rPr>
        <w:t xml:space="preserve"> Boletín Semanal de Precios Mayoristas. https://www.minagricultura.gov.co/tramites-servicios/apoyos-incentivos/Documents/2020_Transporte/AGRICOLA_CORTE_03-06-2020.pdf</w:t>
      </w:r>
    </w:p>
    <w:p w14:paraId="016A1134" w14:textId="016F0EED" w:rsidR="000F3DF6" w:rsidRPr="007E3F46" w:rsidRDefault="000F3DF6" w:rsidP="0083633A">
      <w:pPr>
        <w:pStyle w:val="CETReferencetext"/>
      </w:pPr>
      <w:r w:rsidRPr="00EF7710">
        <w:rPr>
          <w:lang w:val="en-US"/>
        </w:rPr>
        <w:t>Pérez M., Jiménez</w:t>
      </w:r>
      <w:r w:rsidR="00EF7710" w:rsidRPr="00EF7710">
        <w:rPr>
          <w:lang w:val="en-US"/>
        </w:rPr>
        <w:t xml:space="preserve"> </w:t>
      </w:r>
      <w:r w:rsidRPr="00EF7710">
        <w:rPr>
          <w:lang w:val="en-US"/>
        </w:rPr>
        <w:t>E., Rodrígue</w:t>
      </w:r>
      <w:r w:rsidR="00EF7710" w:rsidRPr="00EF7710">
        <w:rPr>
          <w:lang w:val="en-US"/>
        </w:rPr>
        <w:t xml:space="preserve">z </w:t>
      </w:r>
      <w:r w:rsidRPr="00EF7710">
        <w:rPr>
          <w:lang w:val="en-US"/>
        </w:rPr>
        <w:t xml:space="preserve">J., </w:t>
      </w:r>
      <w:proofErr w:type="spellStart"/>
      <w:r w:rsidRPr="00EF7710">
        <w:rPr>
          <w:lang w:val="en-US"/>
        </w:rPr>
        <w:t>Ragazzo</w:t>
      </w:r>
      <w:proofErr w:type="spellEnd"/>
      <w:r w:rsidRPr="00EF7710">
        <w:rPr>
          <w:lang w:val="en-US"/>
        </w:rPr>
        <w:t xml:space="preserve"> J., Ulloa J., Ramírez</w:t>
      </w:r>
      <w:r w:rsidR="00EF7710" w:rsidRPr="00EF7710">
        <w:rPr>
          <w:lang w:val="en-US"/>
        </w:rPr>
        <w:t xml:space="preserve"> </w:t>
      </w:r>
      <w:r w:rsidRPr="00EF7710">
        <w:rPr>
          <w:lang w:val="en-US"/>
        </w:rPr>
        <w:t>J., Gastón</w:t>
      </w:r>
      <w:r w:rsidR="00EF7710" w:rsidRPr="00EF7710">
        <w:rPr>
          <w:lang w:val="en-US"/>
        </w:rPr>
        <w:t xml:space="preserve"> </w:t>
      </w:r>
      <w:r w:rsidRPr="00EF7710">
        <w:rPr>
          <w:lang w:val="en-US"/>
        </w:rPr>
        <w:t>C</w:t>
      </w:r>
      <w:r w:rsidR="00EF7710" w:rsidRPr="00EF7710">
        <w:rPr>
          <w:lang w:val="en-US"/>
        </w:rPr>
        <w:t>.</w:t>
      </w:r>
      <w:r w:rsidRPr="00EF7710">
        <w:rPr>
          <w:lang w:val="en-US"/>
        </w:rPr>
        <w:t>, Bautista P</w:t>
      </w:r>
      <w:r w:rsidR="00EF7710" w:rsidRPr="00EF7710">
        <w:rPr>
          <w:lang w:val="en-US"/>
        </w:rPr>
        <w:t>.,</w:t>
      </w:r>
      <w:r w:rsidRPr="00EF7710">
        <w:rPr>
          <w:lang w:val="en-US"/>
        </w:rPr>
        <w:t xml:space="preserve"> 2021</w:t>
      </w:r>
      <w:r w:rsidR="00EF7710" w:rsidRPr="00EF7710">
        <w:rPr>
          <w:lang w:val="en-US"/>
        </w:rPr>
        <w:t>,</w:t>
      </w:r>
      <w:r w:rsidRPr="00EF7710">
        <w:rPr>
          <w:lang w:val="en-US"/>
        </w:rPr>
        <w:t xml:space="preserve"> Properties </w:t>
      </w:r>
      <w:r w:rsidRPr="007E3F46">
        <w:rPr>
          <w:lang w:val="en-US"/>
        </w:rPr>
        <w:t>of the avocado oil extracted using centrifugation and ultrasound-assisted methods</w:t>
      </w:r>
      <w:r w:rsidR="00EF7710" w:rsidRPr="007E3F46">
        <w:rPr>
          <w:lang w:val="en-US"/>
        </w:rPr>
        <w:t xml:space="preserve">, </w:t>
      </w:r>
      <w:r w:rsidRPr="007E3F46">
        <w:t>Food Science and Biotechnology, 30(8), 1051–1061. https://doi.org/10.1007/s10068-021-00940-w</w:t>
      </w:r>
    </w:p>
    <w:p w14:paraId="06F3B90B" w14:textId="6D4B81DB" w:rsidR="008D7343" w:rsidRPr="007E3F46" w:rsidRDefault="008D7343" w:rsidP="0083633A">
      <w:pPr>
        <w:pStyle w:val="CETReferencetext"/>
        <w:rPr>
          <w:lang w:val="es-CO"/>
        </w:rPr>
      </w:pPr>
      <w:r w:rsidRPr="007E3F46">
        <w:rPr>
          <w:lang w:val="en-US"/>
        </w:rPr>
        <w:t xml:space="preserve">Prada, M. (2016). Competitive strategies of the primary link in production chain of avocado in Montes de Maria. </w:t>
      </w:r>
      <w:r w:rsidRPr="007E3F46">
        <w:rPr>
          <w:lang w:val="es-CO"/>
        </w:rPr>
        <w:t>REVISTADE ECONOMÍA &amp; ADMINISTRACIÓN, 13(1), 95–110. https://revistas.uao.edu.co/ojs/index.php/REYA/article/view/11/6</w:t>
      </w:r>
    </w:p>
    <w:p w14:paraId="5D229FAD" w14:textId="0AB61942" w:rsidR="000F3DF6" w:rsidRPr="00260279" w:rsidRDefault="000F3DF6" w:rsidP="0083633A">
      <w:pPr>
        <w:pStyle w:val="CETReferencetext"/>
        <w:rPr>
          <w:lang w:val="es-CO"/>
        </w:rPr>
      </w:pPr>
      <w:r w:rsidRPr="007E3F46">
        <w:rPr>
          <w:lang w:val="es-CO"/>
        </w:rPr>
        <w:t>Puentes</w:t>
      </w:r>
      <w:r w:rsidR="00EF7710" w:rsidRPr="007E3F46">
        <w:rPr>
          <w:lang w:val="es-CO"/>
        </w:rPr>
        <w:t xml:space="preserve"> </w:t>
      </w:r>
      <w:r w:rsidRPr="007E3F46">
        <w:rPr>
          <w:lang w:val="es-CO"/>
        </w:rPr>
        <w:t>Y., Barragán</w:t>
      </w:r>
      <w:r w:rsidR="00260279" w:rsidRPr="007E3F46">
        <w:rPr>
          <w:lang w:val="es-CO"/>
        </w:rPr>
        <w:t xml:space="preserve"> </w:t>
      </w:r>
      <w:r w:rsidRPr="007E3F46">
        <w:rPr>
          <w:lang w:val="es-CO"/>
        </w:rPr>
        <w:t>D., Pineda A., Castañeda G</w:t>
      </w:r>
      <w:r w:rsidR="00260279" w:rsidRPr="007E3F46">
        <w:rPr>
          <w:lang w:val="es-CO"/>
        </w:rPr>
        <w:t>.,</w:t>
      </w:r>
      <w:r w:rsidRPr="007E3F46">
        <w:rPr>
          <w:lang w:val="es-CO"/>
        </w:rPr>
        <w:t xml:space="preserve"> 2018</w:t>
      </w:r>
      <w:r w:rsidR="00260279" w:rsidRPr="007E3F46">
        <w:rPr>
          <w:lang w:val="es-CO"/>
        </w:rPr>
        <w:t>,</w:t>
      </w:r>
      <w:r w:rsidRPr="007E3F46">
        <w:rPr>
          <w:lang w:val="es-CO"/>
        </w:rPr>
        <w:t xml:space="preserve"> Producción Y Comercialización De Aceite De Aguacate Para Uso Cosmético En La Ciudad De Bogotá D.</w:t>
      </w:r>
      <w:r w:rsidR="00260279" w:rsidRPr="007E3F46">
        <w:rPr>
          <w:lang w:val="es-CO"/>
        </w:rPr>
        <w:t xml:space="preserve">C, </w:t>
      </w:r>
      <w:r w:rsidRPr="007E3F46">
        <w:rPr>
          <w:lang w:val="es-CO"/>
        </w:rPr>
        <w:t xml:space="preserve">Universidad </w:t>
      </w:r>
      <w:r w:rsidRPr="00260279">
        <w:rPr>
          <w:lang w:val="es-CO"/>
        </w:rPr>
        <w:t>Católica de Colombia</w:t>
      </w:r>
      <w:r w:rsidR="00260279">
        <w:rPr>
          <w:lang w:val="es-CO"/>
        </w:rPr>
        <w:t xml:space="preserve">, </w:t>
      </w:r>
      <w:r w:rsidRPr="00260279">
        <w:rPr>
          <w:lang w:val="es-CO"/>
        </w:rPr>
        <w:t>https://repository.ucatolica.edu.co/bitstream/10983/22531/1/PRODUCCIÓN Y COMERCIALIZACIÓN DE ACEITE DE AGUACATE PARA USO COSMÉTICO EN LA CIUDAD DE BOGOTÁ D.C.pdf</w:t>
      </w:r>
    </w:p>
    <w:p w14:paraId="14549B00" w14:textId="5C9F9FAD" w:rsidR="000F3DF6" w:rsidRPr="0083633A" w:rsidRDefault="000F3DF6" w:rsidP="0083633A">
      <w:pPr>
        <w:pStyle w:val="CETReferencetext"/>
      </w:pPr>
      <w:r w:rsidRPr="0083633A">
        <w:t>Ramírez J., Morales</w:t>
      </w:r>
      <w:r w:rsidR="00260279">
        <w:t xml:space="preserve"> </w:t>
      </w:r>
      <w:r w:rsidRPr="0083633A">
        <w:t>G., Peterson T</w:t>
      </w:r>
      <w:r w:rsidR="00260279">
        <w:t xml:space="preserve">, </w:t>
      </w:r>
      <w:r w:rsidRPr="0083633A">
        <w:t>2018</w:t>
      </w:r>
      <w:r w:rsidR="00260279">
        <w:t>,</w:t>
      </w:r>
      <w:r w:rsidRPr="0083633A">
        <w:t xml:space="preserve"> Potential geography and productivity of “Hass” avocado crops in Colombia estimated by ecological niche </w:t>
      </w:r>
      <w:r w:rsidR="00260279">
        <w:t>modelling,</w:t>
      </w:r>
      <w:r w:rsidRPr="0083633A">
        <w:t xml:space="preserve"> Scientia </w:t>
      </w:r>
      <w:proofErr w:type="spellStart"/>
      <w:r w:rsidRPr="0083633A">
        <w:t>Horticulturae</w:t>
      </w:r>
      <w:proofErr w:type="spellEnd"/>
      <w:r w:rsidRPr="0083633A">
        <w:t>, 237, 287–295</w:t>
      </w:r>
      <w:r w:rsidR="00260279">
        <w:t xml:space="preserve">, </w:t>
      </w:r>
      <w:r w:rsidRPr="0083633A">
        <w:t>https://doi.org/10.1016/j.scienta.2018.04.021</w:t>
      </w:r>
    </w:p>
    <w:p w14:paraId="0CCB0434" w14:textId="73964EB5" w:rsidR="000F3DF6" w:rsidRPr="00260279" w:rsidRDefault="00260279" w:rsidP="0083633A">
      <w:pPr>
        <w:pStyle w:val="CETReferencetext"/>
        <w:rPr>
          <w:lang w:val="es-CO"/>
        </w:rPr>
      </w:pPr>
      <w:r w:rsidRPr="00260279">
        <w:rPr>
          <w:lang w:val="es-CO"/>
        </w:rPr>
        <w:t xml:space="preserve">Robayo A., </w:t>
      </w:r>
      <w:r w:rsidR="000F3DF6" w:rsidRPr="00260279">
        <w:rPr>
          <w:lang w:val="es-CO"/>
        </w:rPr>
        <w:t>2016</w:t>
      </w:r>
      <w:r>
        <w:rPr>
          <w:lang w:val="es-CO"/>
        </w:rPr>
        <w:t xml:space="preserve">, </w:t>
      </w:r>
      <w:r w:rsidR="000F3DF6" w:rsidRPr="00260279">
        <w:rPr>
          <w:lang w:val="es-CO"/>
        </w:rPr>
        <w:t xml:space="preserve">Caracterización fisicoquímica de diferentes variedades de aguacate, </w:t>
      </w:r>
      <w:proofErr w:type="spellStart"/>
      <w:r w:rsidR="000F3DF6" w:rsidRPr="00260279">
        <w:rPr>
          <w:lang w:val="es-CO"/>
        </w:rPr>
        <w:t>Persea</w:t>
      </w:r>
      <w:proofErr w:type="spellEnd"/>
      <w:r w:rsidR="000F3DF6" w:rsidRPr="00260279">
        <w:rPr>
          <w:lang w:val="es-CO"/>
        </w:rPr>
        <w:t xml:space="preserve"> americana Mill. (</w:t>
      </w:r>
      <w:proofErr w:type="spellStart"/>
      <w:r w:rsidR="000F3DF6" w:rsidRPr="00260279">
        <w:rPr>
          <w:lang w:val="es-CO"/>
        </w:rPr>
        <w:t>Lauraceae</w:t>
      </w:r>
      <w:proofErr w:type="spellEnd"/>
      <w:r w:rsidR="000F3DF6" w:rsidRPr="00260279">
        <w:rPr>
          <w:lang w:val="es-CO"/>
        </w:rPr>
        <w:t>) e implementación de un método de extracción del aceite de aguacate como alternativa de industrialización</w:t>
      </w:r>
      <w:r w:rsidRPr="00260279">
        <w:rPr>
          <w:lang w:val="es-CO"/>
        </w:rPr>
        <w:t>,</w:t>
      </w:r>
      <w:r w:rsidR="000F3DF6" w:rsidRPr="00260279">
        <w:rPr>
          <w:lang w:val="es-CO"/>
        </w:rPr>
        <w:t xml:space="preserve"> Universidad Nacional De Colombia</w:t>
      </w:r>
      <w:r>
        <w:rPr>
          <w:lang w:val="es-CO"/>
        </w:rPr>
        <w:t>,</w:t>
      </w:r>
      <w:r w:rsidR="000F3DF6" w:rsidRPr="00260279">
        <w:rPr>
          <w:lang w:val="es-CO"/>
        </w:rPr>
        <w:t xml:space="preserve"> https://repositorio.unal.edu.co/handle/unal/59451</w:t>
      </w:r>
    </w:p>
    <w:p w14:paraId="636CF104" w14:textId="603A7693" w:rsidR="000F3DF6" w:rsidRPr="0083633A" w:rsidRDefault="000F3DF6" w:rsidP="0083633A">
      <w:pPr>
        <w:pStyle w:val="CETReferencetext"/>
      </w:pPr>
      <w:r w:rsidRPr="00260279">
        <w:rPr>
          <w:lang w:val="en-US"/>
        </w:rPr>
        <w:t>Romer</w:t>
      </w:r>
      <w:r w:rsidR="00260279" w:rsidRPr="00260279">
        <w:rPr>
          <w:lang w:val="en-US"/>
        </w:rPr>
        <w:t>o</w:t>
      </w:r>
      <w:r w:rsidRPr="00260279">
        <w:rPr>
          <w:lang w:val="en-US"/>
        </w:rPr>
        <w:t xml:space="preserve"> J., Vergara L., Peralta Y., González A.</w:t>
      </w:r>
      <w:r w:rsidR="00260279" w:rsidRPr="00260279">
        <w:rPr>
          <w:lang w:val="en-US"/>
        </w:rPr>
        <w:t>,</w:t>
      </w:r>
      <w:r w:rsidRPr="00260279">
        <w:rPr>
          <w:lang w:val="en-US"/>
        </w:rPr>
        <w:t xml:space="preserve"> 2017</w:t>
      </w:r>
      <w:r w:rsidR="00260279">
        <w:rPr>
          <w:lang w:val="en-US"/>
        </w:rPr>
        <w:t>,</w:t>
      </w:r>
      <w:r w:rsidRPr="00260279">
        <w:rPr>
          <w:lang w:val="en-US"/>
        </w:rPr>
        <w:t xml:space="preserve"> </w:t>
      </w:r>
      <w:r w:rsidRPr="0083633A">
        <w:t>A Techno-Economic Sensitivity Approach for Development of a Palm-based Biorefineries in Colombia</w:t>
      </w:r>
      <w:r w:rsidR="00260279">
        <w:t>,</w:t>
      </w:r>
      <w:r w:rsidRPr="0083633A">
        <w:t xml:space="preserve"> </w:t>
      </w:r>
      <w:r w:rsidR="00260279">
        <w:t>Chemical Engineering Transactions</w:t>
      </w:r>
      <w:r w:rsidRPr="0083633A">
        <w:t>, 57</w:t>
      </w:r>
      <w:r w:rsidR="00063A0E">
        <w:t>,</w:t>
      </w:r>
      <w:r w:rsidRPr="0083633A">
        <w:t xml:space="preserve"> https://doi.org/10.3303/CET1757003</w:t>
      </w:r>
    </w:p>
    <w:p w14:paraId="65671425" w14:textId="2A6B2F8A" w:rsidR="000F3DF6" w:rsidRPr="00EC1757" w:rsidRDefault="000F3DF6" w:rsidP="0083633A">
      <w:pPr>
        <w:pStyle w:val="CETReferencetext"/>
        <w:rPr>
          <w:lang w:val="es-CO"/>
        </w:rPr>
      </w:pPr>
      <w:r w:rsidRPr="00EC1757">
        <w:rPr>
          <w:lang w:val="es-CO"/>
        </w:rPr>
        <w:t>Sandoval A., Forero F., García J</w:t>
      </w:r>
      <w:r w:rsidR="00EC1757">
        <w:rPr>
          <w:lang w:val="es-CO"/>
        </w:rPr>
        <w:t xml:space="preserve">, </w:t>
      </w:r>
      <w:r w:rsidRPr="00EC1757">
        <w:rPr>
          <w:lang w:val="es-CO"/>
        </w:rPr>
        <w:t>2010</w:t>
      </w:r>
      <w:r w:rsidR="00EC1757">
        <w:rPr>
          <w:lang w:val="es-CO"/>
        </w:rPr>
        <w:t>,</w:t>
      </w:r>
      <w:r w:rsidRPr="00EC1757">
        <w:rPr>
          <w:lang w:val="es-CO"/>
        </w:rPr>
        <w:t xml:space="preserve"> Postcosecha y transformación de aguacate: Agroindustria rural innovadora</w:t>
      </w:r>
      <w:r w:rsidR="00EC1757">
        <w:rPr>
          <w:lang w:val="es-CO"/>
        </w:rPr>
        <w:t xml:space="preserve">, </w:t>
      </w:r>
      <w:r w:rsidRPr="00EC1757">
        <w:rPr>
          <w:lang w:val="es-CO"/>
        </w:rPr>
        <w:t>Corpoica.</w:t>
      </w:r>
    </w:p>
    <w:p w14:paraId="3E7CCCA6" w14:textId="2C854EA6" w:rsidR="000F3DF6" w:rsidRPr="0083633A" w:rsidRDefault="000F3DF6" w:rsidP="0083633A">
      <w:pPr>
        <w:pStyle w:val="CETReferencetext"/>
      </w:pPr>
      <w:r w:rsidRPr="0083633A">
        <w:t>Tan X., Chong H., Hamzah</w:t>
      </w:r>
      <w:r w:rsidR="00EC1757">
        <w:t xml:space="preserve"> </w:t>
      </w:r>
      <w:r w:rsidRPr="0083633A">
        <w:t>H.,</w:t>
      </w:r>
      <w:r w:rsidR="00EC1757">
        <w:t xml:space="preserve"> </w:t>
      </w:r>
      <w:r w:rsidRPr="0083633A">
        <w:t>Ghazali</w:t>
      </w:r>
      <w:r w:rsidR="00EC1757">
        <w:t xml:space="preserve"> </w:t>
      </w:r>
      <w:r w:rsidRPr="0083633A">
        <w:t>M</w:t>
      </w:r>
      <w:r w:rsidR="00EC1757">
        <w:t xml:space="preserve">, </w:t>
      </w:r>
      <w:r w:rsidRPr="0083633A">
        <w:t>2018</w:t>
      </w:r>
      <w:r w:rsidR="00EC1757">
        <w:t>,</w:t>
      </w:r>
      <w:r w:rsidRPr="0083633A">
        <w:t xml:space="preserve"> Comparison of subcritical CO2 and ultrasound-assisted aqueous methods with the conventional solvent method in the extraction of avocado oil</w:t>
      </w:r>
      <w:r w:rsidR="00EC1757">
        <w:t xml:space="preserve">, </w:t>
      </w:r>
      <w:r w:rsidRPr="0083633A">
        <w:t>The Journal of Supercritical Fluids, 135, 45–51. https://doi.org/10.1016/j.supflu.2017.12.036</w:t>
      </w:r>
    </w:p>
    <w:p w14:paraId="54C3C3C9" w14:textId="157F58E0" w:rsidR="000F3DF6" w:rsidRPr="0083633A" w:rsidRDefault="000F3DF6" w:rsidP="0083633A">
      <w:pPr>
        <w:pStyle w:val="CETReferencetext"/>
      </w:pPr>
      <w:r w:rsidRPr="0083633A">
        <w:t>THE WORLD BANK</w:t>
      </w:r>
      <w:r w:rsidR="00EC1757">
        <w:t xml:space="preserve">, </w:t>
      </w:r>
      <w:r w:rsidRPr="0083633A">
        <w:t>2020</w:t>
      </w:r>
      <w:r w:rsidR="00EC1757">
        <w:t>,</w:t>
      </w:r>
      <w:r w:rsidRPr="0083633A">
        <w:t xml:space="preserve"> Real interest rate (%)</w:t>
      </w:r>
      <w:r w:rsidR="00EC1757">
        <w:t>,</w:t>
      </w:r>
      <w:r w:rsidRPr="0083633A">
        <w:t xml:space="preserve"> THE WORLD BANK. https://data.worldbank.org/indicator/FR.INR.RINR</w:t>
      </w:r>
    </w:p>
    <w:p w14:paraId="5332AB66" w14:textId="3CBC7EA5" w:rsidR="00CB5A7F" w:rsidRPr="0083633A" w:rsidRDefault="000F3DF6" w:rsidP="00766D2C">
      <w:pPr>
        <w:pStyle w:val="CETReferencetext"/>
      </w:pPr>
      <w:r w:rsidRPr="0083633A">
        <w:t>Yahia M.</w:t>
      </w:r>
      <w:r w:rsidR="00EC1757">
        <w:t xml:space="preserve">, </w:t>
      </w:r>
      <w:r w:rsidRPr="0083633A">
        <w:t>2012</w:t>
      </w:r>
      <w:r w:rsidR="00EC1757">
        <w:t>,</w:t>
      </w:r>
      <w:r w:rsidRPr="0083633A">
        <w:t xml:space="preserve"> Avocado</w:t>
      </w:r>
      <w:r w:rsidR="00EC1757">
        <w:t>,</w:t>
      </w:r>
      <w:r w:rsidRPr="0083633A">
        <w:t xml:space="preserve"> In Crop Post-Harvest: Science and Technology (pp. 159–186). Wiley-Blackwell. https://doi.org/10.1002/9781444354652.ch8</w:t>
      </w:r>
    </w:p>
    <w:sectPr w:rsidR="00CB5A7F" w:rsidRPr="0083633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4C5E" w14:textId="77777777" w:rsidR="003F3831" w:rsidRDefault="003F3831" w:rsidP="004F5E36">
      <w:r>
        <w:separator/>
      </w:r>
    </w:p>
  </w:endnote>
  <w:endnote w:type="continuationSeparator" w:id="0">
    <w:p w14:paraId="230B398D" w14:textId="77777777" w:rsidR="003F3831" w:rsidRDefault="003F38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C40C" w14:textId="77777777" w:rsidR="003F3831" w:rsidRDefault="003F3831" w:rsidP="004F5E36">
      <w:r>
        <w:separator/>
      </w:r>
    </w:p>
  </w:footnote>
  <w:footnote w:type="continuationSeparator" w:id="0">
    <w:p w14:paraId="60DBBCD6" w14:textId="77777777" w:rsidR="003F3831" w:rsidRDefault="003F383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7A0F43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665"/>
    <w:rsid w:val="000052FB"/>
    <w:rsid w:val="000117CB"/>
    <w:rsid w:val="000308C1"/>
    <w:rsid w:val="0003148D"/>
    <w:rsid w:val="00031EEC"/>
    <w:rsid w:val="00032CF4"/>
    <w:rsid w:val="000411FA"/>
    <w:rsid w:val="00051200"/>
    <w:rsid w:val="00051566"/>
    <w:rsid w:val="00052259"/>
    <w:rsid w:val="00062A9A"/>
    <w:rsid w:val="000632E5"/>
    <w:rsid w:val="00063397"/>
    <w:rsid w:val="00063A0E"/>
    <w:rsid w:val="00065058"/>
    <w:rsid w:val="0008241E"/>
    <w:rsid w:val="00083E41"/>
    <w:rsid w:val="00086C39"/>
    <w:rsid w:val="0009430D"/>
    <w:rsid w:val="000A03B2"/>
    <w:rsid w:val="000D0268"/>
    <w:rsid w:val="000D34BE"/>
    <w:rsid w:val="000E102F"/>
    <w:rsid w:val="000E36F1"/>
    <w:rsid w:val="000E3A73"/>
    <w:rsid w:val="000E414A"/>
    <w:rsid w:val="000E5004"/>
    <w:rsid w:val="000F093C"/>
    <w:rsid w:val="000F3DF6"/>
    <w:rsid w:val="000F787B"/>
    <w:rsid w:val="00106401"/>
    <w:rsid w:val="0012091F"/>
    <w:rsid w:val="00126BC2"/>
    <w:rsid w:val="00126FB6"/>
    <w:rsid w:val="001308B6"/>
    <w:rsid w:val="0013121F"/>
    <w:rsid w:val="00131FE6"/>
    <w:rsid w:val="0013263F"/>
    <w:rsid w:val="001331DF"/>
    <w:rsid w:val="00134DE4"/>
    <w:rsid w:val="0014034D"/>
    <w:rsid w:val="00144D16"/>
    <w:rsid w:val="00150E59"/>
    <w:rsid w:val="0015146E"/>
    <w:rsid w:val="00152DE3"/>
    <w:rsid w:val="00156978"/>
    <w:rsid w:val="00164CF9"/>
    <w:rsid w:val="001667A6"/>
    <w:rsid w:val="001813F0"/>
    <w:rsid w:val="00184AD6"/>
    <w:rsid w:val="00195440"/>
    <w:rsid w:val="001A4AF7"/>
    <w:rsid w:val="001B0349"/>
    <w:rsid w:val="001B1E93"/>
    <w:rsid w:val="001B65C1"/>
    <w:rsid w:val="001C684B"/>
    <w:rsid w:val="001D0CFB"/>
    <w:rsid w:val="001D21AF"/>
    <w:rsid w:val="001D53FC"/>
    <w:rsid w:val="001F0373"/>
    <w:rsid w:val="001F42A5"/>
    <w:rsid w:val="001F7B9D"/>
    <w:rsid w:val="00201C93"/>
    <w:rsid w:val="00220C79"/>
    <w:rsid w:val="002216EA"/>
    <w:rsid w:val="002224B4"/>
    <w:rsid w:val="00223E0D"/>
    <w:rsid w:val="00240680"/>
    <w:rsid w:val="002447EF"/>
    <w:rsid w:val="00251550"/>
    <w:rsid w:val="00260279"/>
    <w:rsid w:val="00263B05"/>
    <w:rsid w:val="00266838"/>
    <w:rsid w:val="002670DB"/>
    <w:rsid w:val="0027221A"/>
    <w:rsid w:val="00275B61"/>
    <w:rsid w:val="00280FAF"/>
    <w:rsid w:val="00282656"/>
    <w:rsid w:val="00292EDD"/>
    <w:rsid w:val="002939DB"/>
    <w:rsid w:val="00296B83"/>
    <w:rsid w:val="002A0016"/>
    <w:rsid w:val="002B4015"/>
    <w:rsid w:val="002B7185"/>
    <w:rsid w:val="002B78CE"/>
    <w:rsid w:val="002C2FB6"/>
    <w:rsid w:val="002C3F33"/>
    <w:rsid w:val="002C5393"/>
    <w:rsid w:val="002D3EDA"/>
    <w:rsid w:val="002D7446"/>
    <w:rsid w:val="002E5FA7"/>
    <w:rsid w:val="002F3309"/>
    <w:rsid w:val="002F734D"/>
    <w:rsid w:val="003008CE"/>
    <w:rsid w:val="003009B7"/>
    <w:rsid w:val="00300E56"/>
    <w:rsid w:val="0030469C"/>
    <w:rsid w:val="0031249A"/>
    <w:rsid w:val="00321CA6"/>
    <w:rsid w:val="00323763"/>
    <w:rsid w:val="00325EF2"/>
    <w:rsid w:val="00334C09"/>
    <w:rsid w:val="003723D4"/>
    <w:rsid w:val="00375A90"/>
    <w:rsid w:val="00381905"/>
    <w:rsid w:val="00384CC8"/>
    <w:rsid w:val="003871FD"/>
    <w:rsid w:val="00392F91"/>
    <w:rsid w:val="003A1E30"/>
    <w:rsid w:val="003A2829"/>
    <w:rsid w:val="003A7D1C"/>
    <w:rsid w:val="003B05B2"/>
    <w:rsid w:val="003B304B"/>
    <w:rsid w:val="003B3146"/>
    <w:rsid w:val="003D56C9"/>
    <w:rsid w:val="003E0897"/>
    <w:rsid w:val="003F015E"/>
    <w:rsid w:val="003F3831"/>
    <w:rsid w:val="003F50E2"/>
    <w:rsid w:val="003F752C"/>
    <w:rsid w:val="00400414"/>
    <w:rsid w:val="00400C89"/>
    <w:rsid w:val="00405AC5"/>
    <w:rsid w:val="0041446B"/>
    <w:rsid w:val="00424829"/>
    <w:rsid w:val="0044071E"/>
    <w:rsid w:val="00441B10"/>
    <w:rsid w:val="0044329C"/>
    <w:rsid w:val="00453E24"/>
    <w:rsid w:val="00456F86"/>
    <w:rsid w:val="00457456"/>
    <w:rsid w:val="004577FE"/>
    <w:rsid w:val="00457B9C"/>
    <w:rsid w:val="0046164A"/>
    <w:rsid w:val="004628D2"/>
    <w:rsid w:val="00462DCD"/>
    <w:rsid w:val="004648AD"/>
    <w:rsid w:val="004703A9"/>
    <w:rsid w:val="00472C0E"/>
    <w:rsid w:val="00475F07"/>
    <w:rsid w:val="004760DE"/>
    <w:rsid w:val="004763D7"/>
    <w:rsid w:val="00481AB1"/>
    <w:rsid w:val="004908C5"/>
    <w:rsid w:val="0049724B"/>
    <w:rsid w:val="004A004E"/>
    <w:rsid w:val="004A24CF"/>
    <w:rsid w:val="004A3435"/>
    <w:rsid w:val="004A4124"/>
    <w:rsid w:val="004B07C1"/>
    <w:rsid w:val="004B4C93"/>
    <w:rsid w:val="004C150A"/>
    <w:rsid w:val="004C3D1D"/>
    <w:rsid w:val="004C7913"/>
    <w:rsid w:val="004E2C72"/>
    <w:rsid w:val="004E4DD6"/>
    <w:rsid w:val="004F43A0"/>
    <w:rsid w:val="004F5E36"/>
    <w:rsid w:val="00506E13"/>
    <w:rsid w:val="00507B47"/>
    <w:rsid w:val="00507BEF"/>
    <w:rsid w:val="00507CC9"/>
    <w:rsid w:val="0051013B"/>
    <w:rsid w:val="005119A5"/>
    <w:rsid w:val="005278B7"/>
    <w:rsid w:val="00532016"/>
    <w:rsid w:val="005346C8"/>
    <w:rsid w:val="00543E7D"/>
    <w:rsid w:val="00547A68"/>
    <w:rsid w:val="005531C9"/>
    <w:rsid w:val="005578D5"/>
    <w:rsid w:val="00560355"/>
    <w:rsid w:val="00570C43"/>
    <w:rsid w:val="005A5A90"/>
    <w:rsid w:val="005B2110"/>
    <w:rsid w:val="005B61E6"/>
    <w:rsid w:val="005C77E1"/>
    <w:rsid w:val="005D668A"/>
    <w:rsid w:val="005D6A2F"/>
    <w:rsid w:val="005E1A82"/>
    <w:rsid w:val="005E794C"/>
    <w:rsid w:val="005F0A28"/>
    <w:rsid w:val="005F0E5E"/>
    <w:rsid w:val="00600535"/>
    <w:rsid w:val="006078B2"/>
    <w:rsid w:val="00610CD6"/>
    <w:rsid w:val="00611521"/>
    <w:rsid w:val="00611A3B"/>
    <w:rsid w:val="00620DEE"/>
    <w:rsid w:val="00621F92"/>
    <w:rsid w:val="0062280A"/>
    <w:rsid w:val="00624A8B"/>
    <w:rsid w:val="00625639"/>
    <w:rsid w:val="00626FA5"/>
    <w:rsid w:val="00631B33"/>
    <w:rsid w:val="0063616F"/>
    <w:rsid w:val="0064184D"/>
    <w:rsid w:val="006422CC"/>
    <w:rsid w:val="00655671"/>
    <w:rsid w:val="00655EDE"/>
    <w:rsid w:val="00660E3E"/>
    <w:rsid w:val="00662E74"/>
    <w:rsid w:val="006667D7"/>
    <w:rsid w:val="0067088A"/>
    <w:rsid w:val="00680C23"/>
    <w:rsid w:val="00686C37"/>
    <w:rsid w:val="006932AF"/>
    <w:rsid w:val="00693766"/>
    <w:rsid w:val="006A3281"/>
    <w:rsid w:val="006B4888"/>
    <w:rsid w:val="006C2E45"/>
    <w:rsid w:val="006C359C"/>
    <w:rsid w:val="006C5270"/>
    <w:rsid w:val="006C5579"/>
    <w:rsid w:val="006D6E8B"/>
    <w:rsid w:val="006E363A"/>
    <w:rsid w:val="006E66C2"/>
    <w:rsid w:val="006E737D"/>
    <w:rsid w:val="006F7BDE"/>
    <w:rsid w:val="00704072"/>
    <w:rsid w:val="00705F5A"/>
    <w:rsid w:val="00713973"/>
    <w:rsid w:val="00720A24"/>
    <w:rsid w:val="00726C3F"/>
    <w:rsid w:val="00726D96"/>
    <w:rsid w:val="00732386"/>
    <w:rsid w:val="0073514D"/>
    <w:rsid w:val="007447F3"/>
    <w:rsid w:val="00747549"/>
    <w:rsid w:val="00753E8F"/>
    <w:rsid w:val="0075499F"/>
    <w:rsid w:val="0075660F"/>
    <w:rsid w:val="007661C8"/>
    <w:rsid w:val="00766D2C"/>
    <w:rsid w:val="0077098D"/>
    <w:rsid w:val="00782950"/>
    <w:rsid w:val="00787FA5"/>
    <w:rsid w:val="007931FA"/>
    <w:rsid w:val="007961F3"/>
    <w:rsid w:val="007A4861"/>
    <w:rsid w:val="007A7BBA"/>
    <w:rsid w:val="007B0C50"/>
    <w:rsid w:val="007B48F9"/>
    <w:rsid w:val="007C1A43"/>
    <w:rsid w:val="007E03DE"/>
    <w:rsid w:val="007E3F46"/>
    <w:rsid w:val="007E68C5"/>
    <w:rsid w:val="007F0086"/>
    <w:rsid w:val="0080013E"/>
    <w:rsid w:val="0080554D"/>
    <w:rsid w:val="00813288"/>
    <w:rsid w:val="008168FC"/>
    <w:rsid w:val="00830996"/>
    <w:rsid w:val="008345F1"/>
    <w:rsid w:val="0083633A"/>
    <w:rsid w:val="00851869"/>
    <w:rsid w:val="00860E1B"/>
    <w:rsid w:val="00865B07"/>
    <w:rsid w:val="008667EA"/>
    <w:rsid w:val="0087637F"/>
    <w:rsid w:val="00884226"/>
    <w:rsid w:val="00892AD5"/>
    <w:rsid w:val="008A1512"/>
    <w:rsid w:val="008C671F"/>
    <w:rsid w:val="008C7C08"/>
    <w:rsid w:val="008D32B9"/>
    <w:rsid w:val="008D4291"/>
    <w:rsid w:val="008D433B"/>
    <w:rsid w:val="008D7343"/>
    <w:rsid w:val="008E566E"/>
    <w:rsid w:val="008F177F"/>
    <w:rsid w:val="009015CC"/>
    <w:rsid w:val="0090161A"/>
    <w:rsid w:val="00901EB6"/>
    <w:rsid w:val="00904C62"/>
    <w:rsid w:val="00922463"/>
    <w:rsid w:val="00922BA8"/>
    <w:rsid w:val="00924DAC"/>
    <w:rsid w:val="00927058"/>
    <w:rsid w:val="00942750"/>
    <w:rsid w:val="009450CE"/>
    <w:rsid w:val="00947179"/>
    <w:rsid w:val="009474D1"/>
    <w:rsid w:val="00950888"/>
    <w:rsid w:val="0095164B"/>
    <w:rsid w:val="00953893"/>
    <w:rsid w:val="00954090"/>
    <w:rsid w:val="009573E7"/>
    <w:rsid w:val="009629E9"/>
    <w:rsid w:val="00963E05"/>
    <w:rsid w:val="00964A45"/>
    <w:rsid w:val="00967843"/>
    <w:rsid w:val="00967D54"/>
    <w:rsid w:val="00971028"/>
    <w:rsid w:val="00993B84"/>
    <w:rsid w:val="00996483"/>
    <w:rsid w:val="00996F5A"/>
    <w:rsid w:val="009B041A"/>
    <w:rsid w:val="009B2AC4"/>
    <w:rsid w:val="009B6038"/>
    <w:rsid w:val="009C37C3"/>
    <w:rsid w:val="009C7C86"/>
    <w:rsid w:val="009D2FF7"/>
    <w:rsid w:val="009D615B"/>
    <w:rsid w:val="009E6F04"/>
    <w:rsid w:val="009E7884"/>
    <w:rsid w:val="009E788A"/>
    <w:rsid w:val="009F0E08"/>
    <w:rsid w:val="009F1A6E"/>
    <w:rsid w:val="00A05F35"/>
    <w:rsid w:val="00A1763D"/>
    <w:rsid w:val="00A17CEC"/>
    <w:rsid w:val="00A203B8"/>
    <w:rsid w:val="00A27EF0"/>
    <w:rsid w:val="00A42361"/>
    <w:rsid w:val="00A4643F"/>
    <w:rsid w:val="00A50B20"/>
    <w:rsid w:val="00A51390"/>
    <w:rsid w:val="00A577D3"/>
    <w:rsid w:val="00A60D13"/>
    <w:rsid w:val="00A65255"/>
    <w:rsid w:val="00A72745"/>
    <w:rsid w:val="00A76B2D"/>
    <w:rsid w:val="00A76EFC"/>
    <w:rsid w:val="00A87F01"/>
    <w:rsid w:val="00A91010"/>
    <w:rsid w:val="00A91DEF"/>
    <w:rsid w:val="00A934D8"/>
    <w:rsid w:val="00A97F29"/>
    <w:rsid w:val="00AA702E"/>
    <w:rsid w:val="00AB0964"/>
    <w:rsid w:val="00AB5011"/>
    <w:rsid w:val="00AC7368"/>
    <w:rsid w:val="00AD16B9"/>
    <w:rsid w:val="00AD7CE3"/>
    <w:rsid w:val="00AE2078"/>
    <w:rsid w:val="00AE377D"/>
    <w:rsid w:val="00AF0EBA"/>
    <w:rsid w:val="00AF12F6"/>
    <w:rsid w:val="00B02C8A"/>
    <w:rsid w:val="00B12BC8"/>
    <w:rsid w:val="00B17FBD"/>
    <w:rsid w:val="00B315A6"/>
    <w:rsid w:val="00B31813"/>
    <w:rsid w:val="00B33365"/>
    <w:rsid w:val="00B57B36"/>
    <w:rsid w:val="00B57E6F"/>
    <w:rsid w:val="00B64BB0"/>
    <w:rsid w:val="00B74F7C"/>
    <w:rsid w:val="00B8686D"/>
    <w:rsid w:val="00B93F69"/>
    <w:rsid w:val="00BA7201"/>
    <w:rsid w:val="00BB1DDC"/>
    <w:rsid w:val="00BC149D"/>
    <w:rsid w:val="00BC2956"/>
    <w:rsid w:val="00BC30C9"/>
    <w:rsid w:val="00BD077D"/>
    <w:rsid w:val="00BD5FC5"/>
    <w:rsid w:val="00BE3E58"/>
    <w:rsid w:val="00C01616"/>
    <w:rsid w:val="00C0162B"/>
    <w:rsid w:val="00C068ED"/>
    <w:rsid w:val="00C22E0C"/>
    <w:rsid w:val="00C345B1"/>
    <w:rsid w:val="00C40142"/>
    <w:rsid w:val="00C52C3C"/>
    <w:rsid w:val="00C57182"/>
    <w:rsid w:val="00C57863"/>
    <w:rsid w:val="00C655FD"/>
    <w:rsid w:val="00C75407"/>
    <w:rsid w:val="00C86B7A"/>
    <w:rsid w:val="00C870A8"/>
    <w:rsid w:val="00C94434"/>
    <w:rsid w:val="00C95E32"/>
    <w:rsid w:val="00CA0D75"/>
    <w:rsid w:val="00CA1C95"/>
    <w:rsid w:val="00CA2E38"/>
    <w:rsid w:val="00CA5A9C"/>
    <w:rsid w:val="00CB5A7F"/>
    <w:rsid w:val="00CC4C20"/>
    <w:rsid w:val="00CD3517"/>
    <w:rsid w:val="00CD5FE2"/>
    <w:rsid w:val="00CE7C68"/>
    <w:rsid w:val="00D02B4C"/>
    <w:rsid w:val="00D040C4"/>
    <w:rsid w:val="00D05387"/>
    <w:rsid w:val="00D2198C"/>
    <w:rsid w:val="00D22694"/>
    <w:rsid w:val="00D30532"/>
    <w:rsid w:val="00D311A0"/>
    <w:rsid w:val="00D370A0"/>
    <w:rsid w:val="00D46B7E"/>
    <w:rsid w:val="00D57C84"/>
    <w:rsid w:val="00D6057D"/>
    <w:rsid w:val="00D71640"/>
    <w:rsid w:val="00D836C5"/>
    <w:rsid w:val="00D84576"/>
    <w:rsid w:val="00DA1399"/>
    <w:rsid w:val="00DA24C6"/>
    <w:rsid w:val="00DA4D7B"/>
    <w:rsid w:val="00DC6BF8"/>
    <w:rsid w:val="00DE264A"/>
    <w:rsid w:val="00DE3388"/>
    <w:rsid w:val="00DF5072"/>
    <w:rsid w:val="00E02D18"/>
    <w:rsid w:val="00E03A20"/>
    <w:rsid w:val="00E041E7"/>
    <w:rsid w:val="00E063AC"/>
    <w:rsid w:val="00E23CA1"/>
    <w:rsid w:val="00E26032"/>
    <w:rsid w:val="00E37A72"/>
    <w:rsid w:val="00E409A8"/>
    <w:rsid w:val="00E463FD"/>
    <w:rsid w:val="00E50C12"/>
    <w:rsid w:val="00E61256"/>
    <w:rsid w:val="00E65B91"/>
    <w:rsid w:val="00E661D0"/>
    <w:rsid w:val="00E7209D"/>
    <w:rsid w:val="00E72EAD"/>
    <w:rsid w:val="00E72FDA"/>
    <w:rsid w:val="00E756C9"/>
    <w:rsid w:val="00E77223"/>
    <w:rsid w:val="00E8528B"/>
    <w:rsid w:val="00E85B94"/>
    <w:rsid w:val="00E978D0"/>
    <w:rsid w:val="00EA18D4"/>
    <w:rsid w:val="00EA3FDF"/>
    <w:rsid w:val="00EA4613"/>
    <w:rsid w:val="00EA7F91"/>
    <w:rsid w:val="00EB1523"/>
    <w:rsid w:val="00EB3DC7"/>
    <w:rsid w:val="00EB4E88"/>
    <w:rsid w:val="00EC0E49"/>
    <w:rsid w:val="00EC101F"/>
    <w:rsid w:val="00EC1757"/>
    <w:rsid w:val="00EC1D9F"/>
    <w:rsid w:val="00EE0131"/>
    <w:rsid w:val="00EE17B0"/>
    <w:rsid w:val="00EF06D9"/>
    <w:rsid w:val="00EF6ABB"/>
    <w:rsid w:val="00EF7710"/>
    <w:rsid w:val="00F30C64"/>
    <w:rsid w:val="00F32BA2"/>
    <w:rsid w:val="00F32CDB"/>
    <w:rsid w:val="00F44918"/>
    <w:rsid w:val="00F565FE"/>
    <w:rsid w:val="00F63A70"/>
    <w:rsid w:val="00F70E47"/>
    <w:rsid w:val="00F7534E"/>
    <w:rsid w:val="00F771D3"/>
    <w:rsid w:val="00F92641"/>
    <w:rsid w:val="00FA1802"/>
    <w:rsid w:val="00FA21D0"/>
    <w:rsid w:val="00FA5F5F"/>
    <w:rsid w:val="00FB730C"/>
    <w:rsid w:val="00FC2695"/>
    <w:rsid w:val="00FC3E03"/>
    <w:rsid w:val="00FC3FC1"/>
    <w:rsid w:val="00FE05E3"/>
    <w:rsid w:val="00FF6F2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63508E0-7B40-4393-87C6-F37C8554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E3F4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E3F4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table" w:styleId="Tabladecuadrcula2">
    <w:name w:val="Grid Table 2"/>
    <w:basedOn w:val="Tablanormal"/>
    <w:uiPriority w:val="47"/>
    <w:rsid w:val="002C5393"/>
    <w:pPr>
      <w:spacing w:after="0" w:line="240" w:lineRule="auto"/>
    </w:pPr>
    <w:rPr>
      <w:lang w:val="es-ES_trad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CB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A36D-58FA-42FE-85D3-504C938E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3354</Words>
  <Characters>18451</Characters>
  <Application>Microsoft Office Word</Application>
  <DocSecurity>0</DocSecurity>
  <Lines>153</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Angel Dario González-Delgado</cp:lastModifiedBy>
  <cp:revision>2</cp:revision>
  <cp:lastPrinted>2015-05-12T18:31:00Z</cp:lastPrinted>
  <dcterms:created xsi:type="dcterms:W3CDTF">2022-04-07T15:38:00Z</dcterms:created>
  <dcterms:modified xsi:type="dcterms:W3CDTF">2022-04-07T15:38:00Z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